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0927" w14:textId="77777777" w:rsidR="00221EAB" w:rsidRPr="006202DC" w:rsidRDefault="00221EAB" w:rsidP="00221EAB">
      <w:pPr>
        <w:spacing w:line="360" w:lineRule="auto"/>
        <w:jc w:val="right"/>
        <w:rPr>
          <w:rFonts w:ascii="Arial" w:hAnsi="Arial" w:cs="Arial"/>
          <w:sz w:val="22"/>
          <w:szCs w:val="22"/>
        </w:rPr>
      </w:pPr>
      <w:r w:rsidRPr="006202DC">
        <w:rPr>
          <w:rFonts w:ascii="Arial" w:hAnsi="Arial" w:cs="Arial"/>
          <w:sz w:val="22"/>
          <w:szCs w:val="22"/>
        </w:rPr>
        <w:fldChar w:fldCharType="begin"/>
      </w:r>
      <w:r w:rsidRPr="006202DC">
        <w:rPr>
          <w:rFonts w:ascii="Arial" w:hAnsi="Arial" w:cs="Arial"/>
          <w:sz w:val="22"/>
          <w:szCs w:val="22"/>
        </w:rPr>
        <w:instrText xml:space="preserve"> INCLUDEPICTURE "https://cathedralsgroup.ac.uk/media/Institutional%20logos/Brandmark_RGB_Colourway%201.jpg" \* MERGEFORMATINET </w:instrText>
      </w:r>
      <w:r w:rsidRPr="006202DC">
        <w:rPr>
          <w:rFonts w:ascii="Arial" w:hAnsi="Arial" w:cs="Arial"/>
          <w:sz w:val="22"/>
          <w:szCs w:val="22"/>
        </w:rPr>
        <w:fldChar w:fldCharType="separate"/>
      </w:r>
      <w:r w:rsidRPr="006202DC">
        <w:rPr>
          <w:rFonts w:ascii="Arial" w:hAnsi="Arial" w:cs="Arial"/>
          <w:noProof/>
          <w:sz w:val="22"/>
          <w:szCs w:val="22"/>
        </w:rPr>
        <w:drawing>
          <wp:inline distT="0" distB="0" distL="0" distR="0" wp14:anchorId="038F7D6B" wp14:editId="32CB1FF4">
            <wp:extent cx="2650136" cy="1613688"/>
            <wp:effectExtent l="0" t="0" r="4445" b="0"/>
            <wp:docPr id="1292974133" name="Picture 7" descr="University Of Roehamp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Roehampt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409" cy="1633340"/>
                    </a:xfrm>
                    <a:prstGeom prst="rect">
                      <a:avLst/>
                    </a:prstGeom>
                    <a:noFill/>
                    <a:ln>
                      <a:noFill/>
                    </a:ln>
                  </pic:spPr>
                </pic:pic>
              </a:graphicData>
            </a:graphic>
          </wp:inline>
        </w:drawing>
      </w:r>
      <w:r w:rsidRPr="006202DC">
        <w:rPr>
          <w:rFonts w:ascii="Arial" w:hAnsi="Arial" w:cs="Arial"/>
          <w:sz w:val="22"/>
          <w:szCs w:val="22"/>
        </w:rPr>
        <w:fldChar w:fldCharType="end"/>
      </w:r>
    </w:p>
    <w:p w14:paraId="038E6E6E" w14:textId="77777777" w:rsidR="000A359A" w:rsidRDefault="000A359A" w:rsidP="00221EAB">
      <w:pPr>
        <w:spacing w:line="360" w:lineRule="auto"/>
        <w:rPr>
          <w:rFonts w:ascii="Arial" w:hAnsi="Arial" w:cs="Arial"/>
          <w:b/>
          <w:bCs/>
        </w:rPr>
      </w:pPr>
      <w:r>
        <w:rPr>
          <w:rFonts w:ascii="Arial" w:hAnsi="Arial" w:cs="Arial"/>
          <w:b/>
          <w:bCs/>
        </w:rPr>
        <w:t xml:space="preserve">                    </w:t>
      </w:r>
      <w:r w:rsidR="00CA21E5" w:rsidRPr="00CA21E5">
        <w:rPr>
          <w:rFonts w:ascii="Arial" w:hAnsi="Arial" w:cs="Arial"/>
          <w:b/>
          <w:bCs/>
        </w:rPr>
        <w:t xml:space="preserve">Strategic Investment Appraisal </w:t>
      </w:r>
    </w:p>
    <w:p w14:paraId="4ACDCD1D" w14:textId="77777777" w:rsidR="000A359A" w:rsidRDefault="000A359A" w:rsidP="00221EAB">
      <w:pPr>
        <w:spacing w:line="360" w:lineRule="auto"/>
        <w:rPr>
          <w:rFonts w:ascii="Arial" w:hAnsi="Arial" w:cs="Arial"/>
          <w:b/>
          <w:bCs/>
        </w:rPr>
      </w:pPr>
    </w:p>
    <w:p w14:paraId="4E7F4539" w14:textId="15201981" w:rsidR="00221EAB" w:rsidRPr="00CA21E5" w:rsidRDefault="000A359A" w:rsidP="00221EAB">
      <w:pPr>
        <w:spacing w:line="360" w:lineRule="auto"/>
        <w:rPr>
          <w:rFonts w:ascii="Arial" w:hAnsi="Arial" w:cs="Arial"/>
          <w:b/>
          <w:bCs/>
          <w:lang w:val="en-US"/>
        </w:rPr>
      </w:pPr>
      <w:r>
        <w:rPr>
          <w:rFonts w:ascii="Arial" w:hAnsi="Arial" w:cs="Arial"/>
          <w:b/>
          <w:bCs/>
        </w:rPr>
        <w:t xml:space="preserve">            </w:t>
      </w:r>
      <w:r w:rsidR="00CA21E5" w:rsidRPr="00CA21E5">
        <w:rPr>
          <w:rFonts w:ascii="Arial" w:hAnsi="Arial" w:cs="Arial"/>
          <w:b/>
          <w:bCs/>
        </w:rPr>
        <w:t>Project appraisal report On TravelCenters of America</w:t>
      </w:r>
    </w:p>
    <w:p w14:paraId="6CCF9689" w14:textId="77777777" w:rsidR="00FE731B" w:rsidRDefault="00FE731B" w:rsidP="00FE731B">
      <w:pPr>
        <w:spacing w:line="360" w:lineRule="auto"/>
        <w:rPr>
          <w:rFonts w:ascii="Arial" w:hAnsi="Arial" w:cs="Arial"/>
          <w:sz w:val="22"/>
          <w:szCs w:val="22"/>
        </w:rPr>
      </w:pPr>
    </w:p>
    <w:p w14:paraId="25364B6B" w14:textId="415578FF" w:rsidR="006F324A" w:rsidRDefault="00CA21E5" w:rsidP="00CA21E5">
      <w:pPr>
        <w:jc w:val="center"/>
        <w:rPr>
          <w:rFonts w:ascii="Arial" w:hAnsi="Arial" w:cs="Arial"/>
          <w:b/>
          <w:bCs/>
          <w:color w:val="156082" w:themeColor="accent1"/>
        </w:rPr>
      </w:pPr>
      <w:r>
        <w:rPr>
          <w:noProof/>
        </w:rPr>
        <w:drawing>
          <wp:inline distT="0" distB="0" distL="0" distR="0" wp14:anchorId="070FB01F" wp14:editId="7FE454CC">
            <wp:extent cx="2013720" cy="1892174"/>
            <wp:effectExtent l="0" t="0" r="5715" b="0"/>
            <wp:docPr id="2" name="Picture 1" descr="Location | TravelCenter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 | TravelCenters of Amer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262" cy="1892683"/>
                    </a:xfrm>
                    <a:prstGeom prst="rect">
                      <a:avLst/>
                    </a:prstGeom>
                    <a:noFill/>
                    <a:ln>
                      <a:noFill/>
                    </a:ln>
                  </pic:spPr>
                </pic:pic>
              </a:graphicData>
            </a:graphic>
          </wp:inline>
        </w:drawing>
      </w:r>
    </w:p>
    <w:p w14:paraId="26680600" w14:textId="1E90808F" w:rsidR="006F324A" w:rsidRDefault="00F45459" w:rsidP="00FE731B">
      <w:pPr>
        <w:spacing w:line="360" w:lineRule="auto"/>
        <w:rPr>
          <w:rFonts w:ascii="Arial" w:hAnsi="Arial" w:cs="Arial"/>
          <w:sz w:val="22"/>
          <w:szCs w:val="22"/>
        </w:rPr>
      </w:pPr>
      <w:r>
        <w:rPr>
          <w:rFonts w:ascii="Arial" w:hAnsi="Arial" w:cs="Arial"/>
          <w:sz w:val="22"/>
          <w:szCs w:val="22"/>
        </w:rPr>
        <w:t xml:space="preserve">                                                     </w:t>
      </w:r>
    </w:p>
    <w:p w14:paraId="5FED96DB" w14:textId="77777777" w:rsidR="00FE731B" w:rsidRDefault="00FE731B" w:rsidP="00FE731B">
      <w:pPr>
        <w:spacing w:line="360" w:lineRule="auto"/>
        <w:rPr>
          <w:rFonts w:ascii="Arial" w:hAnsi="Arial" w:cs="Arial"/>
          <w:sz w:val="22"/>
          <w:szCs w:val="22"/>
        </w:rPr>
      </w:pPr>
    </w:p>
    <w:p w14:paraId="5B8E267A" w14:textId="6A6A2C63" w:rsidR="00084012" w:rsidRPr="00527C7D" w:rsidRDefault="00084012" w:rsidP="00FE731B">
      <w:pPr>
        <w:spacing w:line="360" w:lineRule="auto"/>
        <w:rPr>
          <w:rFonts w:ascii="Arial" w:hAnsi="Arial" w:cs="Arial"/>
          <w:b/>
          <w:bCs/>
          <w:sz w:val="22"/>
          <w:szCs w:val="22"/>
        </w:rPr>
      </w:pPr>
      <w:r w:rsidRPr="00527C7D">
        <w:rPr>
          <w:rFonts w:ascii="Arial" w:hAnsi="Arial" w:cs="Arial"/>
          <w:b/>
          <w:bCs/>
          <w:sz w:val="22"/>
          <w:szCs w:val="22"/>
        </w:rPr>
        <w:t>A full acquisition made By British petrochemical corporation(BP PLC) OnTravelCenters America (TA) May 2023</w:t>
      </w:r>
    </w:p>
    <w:p w14:paraId="65DF70E8" w14:textId="77777777" w:rsidR="00FE731B" w:rsidRDefault="00FE731B" w:rsidP="00FE731B">
      <w:pPr>
        <w:spacing w:line="360" w:lineRule="auto"/>
        <w:rPr>
          <w:rFonts w:ascii="Arial" w:hAnsi="Arial" w:cs="Arial"/>
          <w:sz w:val="22"/>
          <w:szCs w:val="22"/>
        </w:rPr>
      </w:pPr>
    </w:p>
    <w:p w14:paraId="1437D027" w14:textId="77777777" w:rsidR="00FE731B" w:rsidRDefault="00FE731B" w:rsidP="00FE731B">
      <w:pPr>
        <w:spacing w:line="360" w:lineRule="auto"/>
        <w:rPr>
          <w:rFonts w:ascii="Arial" w:hAnsi="Arial" w:cs="Arial"/>
          <w:sz w:val="22"/>
          <w:szCs w:val="22"/>
        </w:rPr>
      </w:pPr>
    </w:p>
    <w:p w14:paraId="78C63981" w14:textId="77777777" w:rsidR="00FE731B" w:rsidRDefault="00FE731B" w:rsidP="00FE731B">
      <w:pPr>
        <w:spacing w:line="360" w:lineRule="auto"/>
        <w:rPr>
          <w:rFonts w:ascii="Arial" w:hAnsi="Arial" w:cs="Arial"/>
          <w:sz w:val="22"/>
          <w:szCs w:val="22"/>
        </w:rPr>
      </w:pPr>
    </w:p>
    <w:p w14:paraId="7232E1CE" w14:textId="77777777" w:rsidR="00FE731B" w:rsidRDefault="00FE731B" w:rsidP="00FE731B">
      <w:pPr>
        <w:spacing w:line="360" w:lineRule="auto"/>
        <w:rPr>
          <w:rFonts w:ascii="Arial" w:hAnsi="Arial" w:cs="Arial"/>
          <w:sz w:val="22"/>
          <w:szCs w:val="22"/>
        </w:rPr>
      </w:pPr>
    </w:p>
    <w:p w14:paraId="12370AB3" w14:textId="77777777" w:rsidR="00FE731B" w:rsidRDefault="00FE731B" w:rsidP="00FE731B">
      <w:pPr>
        <w:spacing w:line="360" w:lineRule="auto"/>
        <w:rPr>
          <w:rFonts w:ascii="Arial" w:hAnsi="Arial" w:cs="Arial"/>
          <w:sz w:val="22"/>
          <w:szCs w:val="22"/>
        </w:rPr>
      </w:pPr>
    </w:p>
    <w:p w14:paraId="3FF520A0" w14:textId="77777777" w:rsidR="00FE731B" w:rsidRDefault="00FE731B" w:rsidP="00FE731B">
      <w:pPr>
        <w:spacing w:line="360" w:lineRule="auto"/>
        <w:rPr>
          <w:rFonts w:ascii="Arial" w:hAnsi="Arial" w:cs="Arial"/>
          <w:sz w:val="22"/>
          <w:szCs w:val="22"/>
        </w:rPr>
      </w:pPr>
    </w:p>
    <w:p w14:paraId="1FBD0E6F" w14:textId="77777777" w:rsidR="00712BA7" w:rsidRDefault="00712BA7" w:rsidP="00FE731B">
      <w:pPr>
        <w:spacing w:line="360" w:lineRule="auto"/>
        <w:rPr>
          <w:rFonts w:ascii="Arial" w:hAnsi="Arial" w:cs="Arial"/>
          <w:sz w:val="22"/>
          <w:szCs w:val="22"/>
        </w:rPr>
      </w:pPr>
    </w:p>
    <w:p w14:paraId="61ED60D2" w14:textId="77777777" w:rsidR="008F2CFC" w:rsidRDefault="008F2CFC" w:rsidP="00FE731B">
      <w:pPr>
        <w:spacing w:line="360" w:lineRule="auto"/>
        <w:rPr>
          <w:rFonts w:ascii="Arial" w:hAnsi="Arial" w:cs="Arial"/>
          <w:sz w:val="22"/>
          <w:szCs w:val="22"/>
        </w:rPr>
      </w:pPr>
    </w:p>
    <w:p w14:paraId="504C9020" w14:textId="77777777" w:rsidR="003447EC" w:rsidRDefault="003447EC" w:rsidP="003447EC">
      <w:pPr>
        <w:tabs>
          <w:tab w:val="left" w:pos="9419"/>
        </w:tabs>
        <w:ind w:left="1260"/>
        <w:rPr>
          <w:rFonts w:ascii="Calibri"/>
          <w:b/>
          <w:sz w:val="32"/>
        </w:rPr>
      </w:pPr>
      <w:r>
        <w:rPr>
          <w:rFonts w:ascii="Calibri"/>
          <w:b/>
          <w:spacing w:val="-2"/>
          <w:sz w:val="40"/>
        </w:rPr>
        <w:t>CONTENTS</w:t>
      </w:r>
      <w:r>
        <w:rPr>
          <w:rFonts w:ascii="Calibri"/>
          <w:b/>
          <w:sz w:val="40"/>
        </w:rPr>
        <w:tab/>
      </w:r>
      <w:r>
        <w:rPr>
          <w:rFonts w:ascii="Calibri"/>
          <w:b/>
          <w:spacing w:val="-2"/>
          <w:sz w:val="32"/>
        </w:rPr>
        <w:t>Pages</w:t>
      </w:r>
    </w:p>
    <w:p w14:paraId="5FAD066C" w14:textId="77777777" w:rsidR="006933BA" w:rsidRPr="00DC4F66" w:rsidRDefault="006933BA" w:rsidP="006933BA">
      <w:pPr>
        <w:pStyle w:val="TOC1"/>
        <w:tabs>
          <w:tab w:val="right" w:leader="dot" w:pos="9016"/>
        </w:tabs>
        <w:spacing w:line="360" w:lineRule="auto"/>
        <w:rPr>
          <w:rFonts w:ascii="Arial" w:eastAsiaTheme="minorEastAsia" w:hAnsi="Arial" w:cs="Arial"/>
          <w:b w:val="0"/>
          <w:bCs w:val="0"/>
          <w:i w:val="0"/>
          <w:iCs w:val="0"/>
          <w:noProof/>
          <w:sz w:val="22"/>
          <w:szCs w:val="22"/>
          <w:lang w:eastAsia="en-GB"/>
        </w:rPr>
      </w:pPr>
      <w:hyperlink w:anchor="_Toc185148331" w:history="1">
        <w:r w:rsidRPr="00DC4F66">
          <w:rPr>
            <w:rStyle w:val="Hyperlink"/>
            <w:rFonts w:ascii="Arial" w:hAnsi="Arial" w:cs="Arial"/>
            <w:b w:val="0"/>
            <w:bCs w:val="0"/>
            <w:noProof/>
            <w:sz w:val="22"/>
            <w:szCs w:val="22"/>
            <w:lang w:val="en-US"/>
          </w:rPr>
          <w:t>ABBREVIATIONS</w:t>
        </w:r>
        <w:r w:rsidRPr="00DC4F66">
          <w:rPr>
            <w:rFonts w:ascii="Arial" w:hAnsi="Arial" w:cs="Arial"/>
            <w:b w:val="0"/>
            <w:bCs w:val="0"/>
            <w:noProof/>
            <w:webHidden/>
            <w:sz w:val="22"/>
            <w:szCs w:val="22"/>
          </w:rPr>
          <w:tab/>
        </w:r>
        <w:r w:rsidRPr="00DC4F66">
          <w:rPr>
            <w:rFonts w:ascii="Arial" w:hAnsi="Arial" w:cs="Arial"/>
            <w:b w:val="0"/>
            <w:bCs w:val="0"/>
            <w:noProof/>
            <w:webHidden/>
            <w:sz w:val="22"/>
            <w:szCs w:val="22"/>
          </w:rPr>
          <w:fldChar w:fldCharType="begin"/>
        </w:r>
        <w:r w:rsidRPr="00DC4F66">
          <w:rPr>
            <w:rFonts w:ascii="Arial" w:hAnsi="Arial" w:cs="Arial"/>
            <w:b w:val="0"/>
            <w:bCs w:val="0"/>
            <w:noProof/>
            <w:webHidden/>
            <w:sz w:val="22"/>
            <w:szCs w:val="22"/>
          </w:rPr>
          <w:instrText xml:space="preserve"> PAGEREF _Toc185148331 \h </w:instrText>
        </w:r>
        <w:r w:rsidRPr="00DC4F66">
          <w:rPr>
            <w:rFonts w:ascii="Arial" w:hAnsi="Arial" w:cs="Arial"/>
            <w:b w:val="0"/>
            <w:bCs w:val="0"/>
            <w:noProof/>
            <w:webHidden/>
            <w:sz w:val="22"/>
            <w:szCs w:val="22"/>
          </w:rPr>
        </w:r>
        <w:r w:rsidRPr="00DC4F66">
          <w:rPr>
            <w:rFonts w:ascii="Arial" w:hAnsi="Arial" w:cs="Arial"/>
            <w:b w:val="0"/>
            <w:bCs w:val="0"/>
            <w:noProof/>
            <w:webHidden/>
            <w:sz w:val="22"/>
            <w:szCs w:val="22"/>
          </w:rPr>
          <w:fldChar w:fldCharType="separate"/>
        </w:r>
        <w:r>
          <w:rPr>
            <w:rFonts w:ascii="Arial" w:hAnsi="Arial" w:cs="Arial"/>
            <w:b w:val="0"/>
            <w:bCs w:val="0"/>
            <w:noProof/>
            <w:webHidden/>
            <w:sz w:val="22"/>
            <w:szCs w:val="22"/>
          </w:rPr>
          <w:t>3</w:t>
        </w:r>
        <w:r w:rsidRPr="00DC4F66">
          <w:rPr>
            <w:rFonts w:ascii="Arial" w:hAnsi="Arial" w:cs="Arial"/>
            <w:b w:val="0"/>
            <w:bCs w:val="0"/>
            <w:noProof/>
            <w:webHidden/>
            <w:sz w:val="22"/>
            <w:szCs w:val="22"/>
          </w:rPr>
          <w:fldChar w:fldCharType="end"/>
        </w:r>
      </w:hyperlink>
    </w:p>
    <w:p w14:paraId="0BDC3760" w14:textId="77777777" w:rsidR="006933BA" w:rsidRPr="00DC4F66" w:rsidRDefault="006933BA" w:rsidP="006933BA">
      <w:pPr>
        <w:pStyle w:val="TOC1"/>
        <w:tabs>
          <w:tab w:val="right" w:leader="dot" w:pos="9016"/>
        </w:tabs>
        <w:spacing w:line="360" w:lineRule="auto"/>
        <w:rPr>
          <w:rFonts w:ascii="Arial" w:eastAsiaTheme="minorEastAsia" w:hAnsi="Arial" w:cs="Arial"/>
          <w:b w:val="0"/>
          <w:bCs w:val="0"/>
          <w:i w:val="0"/>
          <w:iCs w:val="0"/>
          <w:noProof/>
          <w:sz w:val="22"/>
          <w:szCs w:val="22"/>
          <w:lang w:eastAsia="en-GB"/>
        </w:rPr>
      </w:pPr>
      <w:hyperlink w:anchor="_Toc185148332" w:history="1">
        <w:r w:rsidRPr="00DC4F66">
          <w:rPr>
            <w:rStyle w:val="Hyperlink"/>
            <w:rFonts w:ascii="Arial" w:hAnsi="Arial" w:cs="Arial"/>
            <w:b w:val="0"/>
            <w:bCs w:val="0"/>
            <w:noProof/>
            <w:sz w:val="22"/>
            <w:szCs w:val="22"/>
            <w:lang w:val="en-US"/>
          </w:rPr>
          <w:t>1.0 Introduction</w:t>
        </w:r>
        <w:r w:rsidRPr="00DC4F66">
          <w:rPr>
            <w:rFonts w:ascii="Arial" w:hAnsi="Arial" w:cs="Arial"/>
            <w:b w:val="0"/>
            <w:bCs w:val="0"/>
            <w:noProof/>
            <w:webHidden/>
            <w:sz w:val="22"/>
            <w:szCs w:val="22"/>
          </w:rPr>
          <w:tab/>
        </w:r>
        <w:r w:rsidRPr="00DC4F66">
          <w:rPr>
            <w:rFonts w:ascii="Arial" w:hAnsi="Arial" w:cs="Arial"/>
            <w:b w:val="0"/>
            <w:bCs w:val="0"/>
            <w:noProof/>
            <w:webHidden/>
            <w:sz w:val="22"/>
            <w:szCs w:val="22"/>
          </w:rPr>
          <w:fldChar w:fldCharType="begin"/>
        </w:r>
        <w:r w:rsidRPr="00DC4F66">
          <w:rPr>
            <w:rFonts w:ascii="Arial" w:hAnsi="Arial" w:cs="Arial"/>
            <w:b w:val="0"/>
            <w:bCs w:val="0"/>
            <w:noProof/>
            <w:webHidden/>
            <w:sz w:val="22"/>
            <w:szCs w:val="22"/>
          </w:rPr>
          <w:instrText xml:space="preserve"> PAGEREF _Toc185148332 \h </w:instrText>
        </w:r>
        <w:r w:rsidRPr="00DC4F66">
          <w:rPr>
            <w:rFonts w:ascii="Arial" w:hAnsi="Arial" w:cs="Arial"/>
            <w:b w:val="0"/>
            <w:bCs w:val="0"/>
            <w:noProof/>
            <w:webHidden/>
            <w:sz w:val="22"/>
            <w:szCs w:val="22"/>
          </w:rPr>
        </w:r>
        <w:r w:rsidRPr="00DC4F66">
          <w:rPr>
            <w:rFonts w:ascii="Arial" w:hAnsi="Arial" w:cs="Arial"/>
            <w:b w:val="0"/>
            <w:bCs w:val="0"/>
            <w:noProof/>
            <w:webHidden/>
            <w:sz w:val="22"/>
            <w:szCs w:val="22"/>
          </w:rPr>
          <w:fldChar w:fldCharType="separate"/>
        </w:r>
        <w:r>
          <w:rPr>
            <w:rFonts w:ascii="Arial" w:hAnsi="Arial" w:cs="Arial"/>
            <w:b w:val="0"/>
            <w:bCs w:val="0"/>
            <w:noProof/>
            <w:webHidden/>
            <w:sz w:val="22"/>
            <w:szCs w:val="22"/>
          </w:rPr>
          <w:t>4</w:t>
        </w:r>
        <w:r w:rsidRPr="00DC4F66">
          <w:rPr>
            <w:rFonts w:ascii="Arial" w:hAnsi="Arial" w:cs="Arial"/>
            <w:b w:val="0"/>
            <w:bCs w:val="0"/>
            <w:noProof/>
            <w:webHidden/>
            <w:sz w:val="22"/>
            <w:szCs w:val="22"/>
          </w:rPr>
          <w:fldChar w:fldCharType="end"/>
        </w:r>
      </w:hyperlink>
    </w:p>
    <w:p w14:paraId="1A45250F" w14:textId="77777777" w:rsidR="006933BA" w:rsidRPr="00B82A8B" w:rsidRDefault="006933BA" w:rsidP="006933BA">
      <w:pPr>
        <w:pStyle w:val="TOC1"/>
        <w:tabs>
          <w:tab w:val="right" w:leader="dot" w:pos="9016"/>
        </w:tabs>
        <w:spacing w:line="360" w:lineRule="auto"/>
        <w:rPr>
          <w:rFonts w:ascii="Arial" w:eastAsiaTheme="minorEastAsia" w:hAnsi="Arial" w:cs="Arial"/>
          <w:b w:val="0"/>
          <w:bCs w:val="0"/>
          <w:i w:val="0"/>
          <w:iCs w:val="0"/>
          <w:noProof/>
          <w:sz w:val="22"/>
          <w:szCs w:val="22"/>
          <w:lang w:eastAsia="en-GB"/>
        </w:rPr>
      </w:pPr>
      <w:hyperlink w:anchor="_Toc185148333" w:history="1">
        <w:r>
          <w:rPr>
            <w:rStyle w:val="Hyperlink"/>
            <w:rFonts w:ascii="Arial" w:hAnsi="Arial" w:cs="Arial"/>
            <w:b w:val="0"/>
            <w:bCs w:val="0"/>
            <w:noProof/>
            <w:sz w:val="22"/>
            <w:szCs w:val="22"/>
          </w:rPr>
          <w:t xml:space="preserve">1.2 </w:t>
        </w:r>
        <w:r w:rsidRPr="00DC4F66">
          <w:rPr>
            <w:rStyle w:val="Hyperlink"/>
            <w:rFonts w:ascii="Arial" w:hAnsi="Arial" w:cs="Arial"/>
            <w:b w:val="0"/>
            <w:bCs w:val="0"/>
            <w:noProof/>
            <w:sz w:val="22"/>
            <w:szCs w:val="22"/>
          </w:rPr>
          <w:t xml:space="preserve"> </w:t>
        </w:r>
        <w:r>
          <w:rPr>
            <w:rStyle w:val="Hyperlink"/>
            <w:rFonts w:ascii="Arial" w:hAnsi="Arial" w:cs="Arial"/>
            <w:b w:val="0"/>
            <w:bCs w:val="0"/>
            <w:noProof/>
            <w:sz w:val="22"/>
            <w:szCs w:val="22"/>
          </w:rPr>
          <w:t>Strategic Analysis of Acqusition</w:t>
        </w:r>
        <w:r w:rsidRPr="00DC4F66">
          <w:rPr>
            <w:rFonts w:ascii="Arial" w:hAnsi="Arial" w:cs="Arial"/>
            <w:b w:val="0"/>
            <w:bCs w:val="0"/>
            <w:noProof/>
            <w:webHidden/>
            <w:sz w:val="22"/>
            <w:szCs w:val="22"/>
          </w:rPr>
          <w:tab/>
        </w:r>
        <w:r w:rsidRPr="00DC4F66">
          <w:rPr>
            <w:rFonts w:ascii="Arial" w:hAnsi="Arial" w:cs="Arial"/>
            <w:b w:val="0"/>
            <w:bCs w:val="0"/>
            <w:noProof/>
            <w:webHidden/>
            <w:sz w:val="22"/>
            <w:szCs w:val="22"/>
          </w:rPr>
          <w:fldChar w:fldCharType="begin"/>
        </w:r>
        <w:r w:rsidRPr="00DC4F66">
          <w:rPr>
            <w:rFonts w:ascii="Arial" w:hAnsi="Arial" w:cs="Arial"/>
            <w:b w:val="0"/>
            <w:bCs w:val="0"/>
            <w:noProof/>
            <w:webHidden/>
            <w:sz w:val="22"/>
            <w:szCs w:val="22"/>
          </w:rPr>
          <w:instrText xml:space="preserve"> PAGEREF _Toc185148333 \h </w:instrText>
        </w:r>
        <w:r w:rsidRPr="00DC4F66">
          <w:rPr>
            <w:rFonts w:ascii="Arial" w:hAnsi="Arial" w:cs="Arial"/>
            <w:b w:val="0"/>
            <w:bCs w:val="0"/>
            <w:noProof/>
            <w:webHidden/>
            <w:sz w:val="22"/>
            <w:szCs w:val="22"/>
          </w:rPr>
        </w:r>
        <w:r w:rsidRPr="00DC4F66">
          <w:rPr>
            <w:rFonts w:ascii="Arial" w:hAnsi="Arial" w:cs="Arial"/>
            <w:b w:val="0"/>
            <w:bCs w:val="0"/>
            <w:noProof/>
            <w:webHidden/>
            <w:sz w:val="22"/>
            <w:szCs w:val="22"/>
          </w:rPr>
          <w:fldChar w:fldCharType="separate"/>
        </w:r>
        <w:r>
          <w:rPr>
            <w:rFonts w:ascii="Arial" w:hAnsi="Arial" w:cs="Arial"/>
            <w:b w:val="0"/>
            <w:bCs w:val="0"/>
            <w:noProof/>
            <w:webHidden/>
            <w:sz w:val="22"/>
            <w:szCs w:val="22"/>
          </w:rPr>
          <w:t>4</w:t>
        </w:r>
        <w:r w:rsidRPr="00DC4F66">
          <w:rPr>
            <w:rFonts w:ascii="Arial" w:hAnsi="Arial" w:cs="Arial"/>
            <w:b w:val="0"/>
            <w:bCs w:val="0"/>
            <w:noProof/>
            <w:webHidden/>
            <w:sz w:val="22"/>
            <w:szCs w:val="22"/>
          </w:rPr>
          <w:fldChar w:fldCharType="end"/>
        </w:r>
      </w:hyperlink>
    </w:p>
    <w:p w14:paraId="69AB795A" w14:textId="77777777" w:rsidR="006933BA" w:rsidRPr="002329BA" w:rsidRDefault="006933BA" w:rsidP="006933BA">
      <w:pPr>
        <w:pStyle w:val="TOC1"/>
        <w:tabs>
          <w:tab w:val="right" w:leader="dot" w:pos="9016"/>
        </w:tabs>
        <w:spacing w:line="360" w:lineRule="auto"/>
        <w:rPr>
          <w:rFonts w:ascii="Arial" w:eastAsiaTheme="minorEastAsia" w:hAnsi="Arial" w:cs="Arial"/>
          <w:b w:val="0"/>
          <w:bCs w:val="0"/>
          <w:i w:val="0"/>
          <w:iCs w:val="0"/>
          <w:noProof/>
          <w:sz w:val="22"/>
          <w:szCs w:val="22"/>
          <w:lang w:eastAsia="en-GB"/>
        </w:rPr>
      </w:pPr>
      <w:hyperlink w:anchor="_Toc185148334" w:history="1">
        <w:r>
          <w:rPr>
            <w:rStyle w:val="Hyperlink"/>
            <w:rFonts w:ascii="Arial" w:eastAsia="Times New Roman" w:hAnsi="Arial" w:cs="Arial"/>
            <w:b w:val="0"/>
            <w:bCs w:val="0"/>
            <w:noProof/>
            <w:sz w:val="22"/>
            <w:szCs w:val="22"/>
            <w:lang w:eastAsia="en-GB"/>
          </w:rPr>
          <w:t>1</w:t>
        </w:r>
        <w:r w:rsidRPr="00DC4F66">
          <w:rPr>
            <w:rStyle w:val="Hyperlink"/>
            <w:rFonts w:ascii="Arial" w:eastAsia="Times New Roman" w:hAnsi="Arial" w:cs="Arial"/>
            <w:b w:val="0"/>
            <w:bCs w:val="0"/>
            <w:noProof/>
            <w:sz w:val="22"/>
            <w:szCs w:val="22"/>
            <w:lang w:eastAsia="en-GB"/>
          </w:rPr>
          <w:t>.</w:t>
        </w:r>
        <w:r>
          <w:rPr>
            <w:rStyle w:val="Hyperlink"/>
            <w:rFonts w:ascii="Arial" w:eastAsia="Times New Roman" w:hAnsi="Arial" w:cs="Arial"/>
            <w:b w:val="0"/>
            <w:bCs w:val="0"/>
            <w:noProof/>
            <w:sz w:val="22"/>
            <w:szCs w:val="22"/>
            <w:lang w:eastAsia="en-GB"/>
          </w:rPr>
          <w:t>3</w:t>
        </w:r>
        <w:r w:rsidRPr="00DC4F66">
          <w:rPr>
            <w:rStyle w:val="Hyperlink"/>
            <w:rFonts w:ascii="Arial" w:eastAsia="Times New Roman" w:hAnsi="Arial" w:cs="Arial"/>
            <w:b w:val="0"/>
            <w:bCs w:val="0"/>
            <w:noProof/>
            <w:sz w:val="22"/>
            <w:szCs w:val="22"/>
            <w:lang w:eastAsia="en-GB"/>
          </w:rPr>
          <w:t xml:space="preserve"> </w:t>
        </w:r>
        <w:r>
          <w:rPr>
            <w:rStyle w:val="Hyperlink"/>
            <w:rFonts w:ascii="Arial" w:eastAsia="Times New Roman" w:hAnsi="Arial" w:cs="Arial"/>
            <w:b w:val="0"/>
            <w:bCs w:val="0"/>
            <w:noProof/>
            <w:sz w:val="22"/>
            <w:szCs w:val="22"/>
            <w:lang w:eastAsia="en-GB"/>
          </w:rPr>
          <w:t>Major Reason for BP’S Acqusition</w:t>
        </w:r>
        <w:r w:rsidRPr="00DC4F66">
          <w:rPr>
            <w:rFonts w:ascii="Arial" w:hAnsi="Arial" w:cs="Arial"/>
            <w:b w:val="0"/>
            <w:bCs w:val="0"/>
            <w:noProof/>
            <w:webHidden/>
            <w:sz w:val="22"/>
            <w:szCs w:val="22"/>
          </w:rPr>
          <w:tab/>
        </w:r>
        <w:r w:rsidRPr="00DC4F66">
          <w:rPr>
            <w:rFonts w:ascii="Arial" w:hAnsi="Arial" w:cs="Arial"/>
            <w:b w:val="0"/>
            <w:bCs w:val="0"/>
            <w:noProof/>
            <w:webHidden/>
            <w:sz w:val="22"/>
            <w:szCs w:val="22"/>
          </w:rPr>
          <w:fldChar w:fldCharType="begin"/>
        </w:r>
        <w:r w:rsidRPr="00DC4F66">
          <w:rPr>
            <w:rFonts w:ascii="Arial" w:hAnsi="Arial" w:cs="Arial"/>
            <w:b w:val="0"/>
            <w:bCs w:val="0"/>
            <w:noProof/>
            <w:webHidden/>
            <w:sz w:val="22"/>
            <w:szCs w:val="22"/>
          </w:rPr>
          <w:instrText xml:space="preserve"> PAGEREF _Toc185148333 \h </w:instrText>
        </w:r>
        <w:r w:rsidRPr="00DC4F66">
          <w:rPr>
            <w:rFonts w:ascii="Arial" w:hAnsi="Arial" w:cs="Arial"/>
            <w:b w:val="0"/>
            <w:bCs w:val="0"/>
            <w:noProof/>
            <w:webHidden/>
            <w:sz w:val="22"/>
            <w:szCs w:val="22"/>
          </w:rPr>
        </w:r>
        <w:r w:rsidRPr="00DC4F66">
          <w:rPr>
            <w:rFonts w:ascii="Arial" w:hAnsi="Arial" w:cs="Arial"/>
            <w:b w:val="0"/>
            <w:bCs w:val="0"/>
            <w:noProof/>
            <w:webHidden/>
            <w:sz w:val="22"/>
            <w:szCs w:val="22"/>
          </w:rPr>
          <w:fldChar w:fldCharType="separate"/>
        </w:r>
        <w:r>
          <w:rPr>
            <w:rFonts w:ascii="Arial" w:hAnsi="Arial" w:cs="Arial"/>
            <w:b w:val="0"/>
            <w:bCs w:val="0"/>
            <w:noProof/>
            <w:webHidden/>
            <w:sz w:val="22"/>
            <w:szCs w:val="22"/>
          </w:rPr>
          <w:t>4</w:t>
        </w:r>
        <w:r w:rsidRPr="00DC4F66">
          <w:rPr>
            <w:rFonts w:ascii="Arial" w:hAnsi="Arial" w:cs="Arial"/>
            <w:b w:val="0"/>
            <w:bCs w:val="0"/>
            <w:noProof/>
            <w:webHidden/>
            <w:sz w:val="22"/>
            <w:szCs w:val="22"/>
          </w:rPr>
          <w:fldChar w:fldCharType="end"/>
        </w:r>
      </w:hyperlink>
    </w:p>
    <w:p w14:paraId="725B67C8" w14:textId="77777777" w:rsidR="006933BA" w:rsidRPr="00DC4F66"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35" w:history="1">
        <w:r>
          <w:rPr>
            <w:rStyle w:val="Hyperlink"/>
            <w:rFonts w:ascii="Arial" w:eastAsia="Times New Roman" w:hAnsi="Arial" w:cs="Arial"/>
            <w:b w:val="0"/>
            <w:bCs w:val="0"/>
            <w:noProof/>
            <w:lang w:eastAsia="en-GB"/>
          </w:rPr>
          <w:t>1</w:t>
        </w:r>
        <w:r w:rsidRPr="00DC4F66">
          <w:rPr>
            <w:rStyle w:val="Hyperlink"/>
            <w:rFonts w:ascii="Arial" w:eastAsia="Times New Roman" w:hAnsi="Arial" w:cs="Arial"/>
            <w:b w:val="0"/>
            <w:bCs w:val="0"/>
            <w:noProof/>
            <w:lang w:eastAsia="en-GB"/>
          </w:rPr>
          <w:t>.</w:t>
        </w:r>
        <w:r>
          <w:rPr>
            <w:rStyle w:val="Hyperlink"/>
            <w:rFonts w:ascii="Arial" w:eastAsia="Times New Roman" w:hAnsi="Arial" w:cs="Arial"/>
            <w:b w:val="0"/>
            <w:bCs w:val="0"/>
            <w:noProof/>
            <w:lang w:eastAsia="en-GB"/>
          </w:rPr>
          <w:t>4</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Impact on BP’S</w:t>
        </w:r>
        <w:r w:rsidRPr="00DC4F66">
          <w:rPr>
            <w:rStyle w:val="Hyperlink"/>
            <w:rFonts w:ascii="Arial" w:eastAsia="Times New Roman" w:hAnsi="Arial" w:cs="Arial"/>
            <w:b w:val="0"/>
            <w:bCs w:val="0"/>
            <w:noProof/>
            <w:lang w:eastAsia="en-GB"/>
          </w:rPr>
          <w:t xml:space="preserve"> Financial Performance</w:t>
        </w:r>
        <w:r w:rsidRPr="00DC4F66">
          <w:rPr>
            <w:rFonts w:ascii="Arial" w:hAnsi="Arial" w:cs="Arial"/>
            <w:b w:val="0"/>
            <w:bCs w:val="0"/>
            <w:noProof/>
            <w:webHidden/>
          </w:rPr>
          <w:tab/>
        </w:r>
        <w:r w:rsidRPr="002329BA">
          <w:rPr>
            <w:rFonts w:ascii="Arial" w:hAnsi="Arial" w:cs="Arial"/>
            <w:b w:val="0"/>
            <w:bCs w:val="0"/>
            <w:noProof/>
            <w:webHidden/>
          </w:rPr>
          <w:t>7-</w:t>
        </w:r>
        <w:r w:rsidRPr="002329BA">
          <w:rPr>
            <w:rFonts w:ascii="Arial" w:hAnsi="Arial" w:cs="Arial"/>
            <w:b w:val="0"/>
            <w:bCs w:val="0"/>
            <w:noProof/>
          </w:rPr>
          <w:t>8</w:t>
        </w:r>
      </w:hyperlink>
    </w:p>
    <w:p w14:paraId="37A947B0" w14:textId="77777777" w:rsidR="006933BA" w:rsidRPr="00DC4F66"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36" w:history="1">
        <w:r>
          <w:rPr>
            <w:rStyle w:val="Hyperlink"/>
            <w:rFonts w:ascii="Arial" w:eastAsia="Times New Roman" w:hAnsi="Arial" w:cs="Arial"/>
            <w:b w:val="0"/>
            <w:bCs w:val="0"/>
            <w:noProof/>
            <w:lang w:eastAsia="en-GB"/>
          </w:rPr>
          <w:t>2</w:t>
        </w:r>
        <w:r w:rsidRPr="00DC4F66">
          <w:rPr>
            <w:rStyle w:val="Hyperlink"/>
            <w:rFonts w:ascii="Arial" w:eastAsia="Times New Roman" w:hAnsi="Arial" w:cs="Arial"/>
            <w:b w:val="0"/>
            <w:bCs w:val="0"/>
            <w:noProof/>
            <w:lang w:eastAsia="en-GB"/>
          </w:rPr>
          <w:t>.</w:t>
        </w:r>
        <w:r>
          <w:rPr>
            <w:rStyle w:val="Hyperlink"/>
            <w:rFonts w:ascii="Arial" w:eastAsia="Times New Roman" w:hAnsi="Arial" w:cs="Arial"/>
            <w:b w:val="0"/>
            <w:bCs w:val="0"/>
            <w:noProof/>
            <w:lang w:eastAsia="en-GB"/>
          </w:rPr>
          <w:t>0 Business</w:t>
        </w:r>
        <w:r w:rsidRPr="00DC4F66">
          <w:rPr>
            <w:rStyle w:val="Hyperlink"/>
            <w:rFonts w:ascii="Arial" w:eastAsia="Times New Roman" w:hAnsi="Arial" w:cs="Arial"/>
            <w:b w:val="0"/>
            <w:bCs w:val="0"/>
            <w:noProof/>
            <w:lang w:eastAsia="en-GB"/>
          </w:rPr>
          <w:t xml:space="preserve"> Valuation </w:t>
        </w:r>
        <w:r w:rsidRPr="00DC4F66">
          <w:rPr>
            <w:rFonts w:ascii="Arial" w:hAnsi="Arial" w:cs="Arial"/>
            <w:b w:val="0"/>
            <w:bCs w:val="0"/>
            <w:noProof/>
            <w:webHidden/>
          </w:rPr>
          <w:tab/>
        </w:r>
        <w:r w:rsidRPr="002329BA">
          <w:rPr>
            <w:rFonts w:ascii="Arial" w:hAnsi="Arial" w:cs="Arial"/>
            <w:b w:val="0"/>
            <w:bCs w:val="0"/>
            <w:noProof/>
            <w:webHidden/>
          </w:rPr>
          <w:t>8</w:t>
        </w:r>
      </w:hyperlink>
    </w:p>
    <w:p w14:paraId="742FF14B" w14:textId="77777777" w:rsidR="006933BA" w:rsidRPr="002329BA"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37" w:history="1">
        <w:r>
          <w:rPr>
            <w:rStyle w:val="Hyperlink"/>
            <w:rFonts w:ascii="Arial" w:eastAsia="Times New Roman" w:hAnsi="Arial" w:cs="Arial"/>
            <w:b w:val="0"/>
            <w:bCs w:val="0"/>
            <w:noProof/>
            <w:lang w:eastAsia="en-GB"/>
          </w:rPr>
          <w:t>2.1</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Benefits and Risk of BP’S Acquicition of TA</w:t>
        </w:r>
        <w:r w:rsidRPr="00DC4F66">
          <w:rPr>
            <w:rFonts w:ascii="Arial" w:hAnsi="Arial" w:cs="Arial"/>
            <w:b w:val="0"/>
            <w:bCs w:val="0"/>
            <w:noProof/>
            <w:webHidden/>
          </w:rPr>
          <w:tab/>
        </w:r>
        <w:r>
          <w:rPr>
            <w:rFonts w:ascii="Arial" w:hAnsi="Arial" w:cs="Arial"/>
            <w:b w:val="0"/>
            <w:bCs w:val="0"/>
            <w:noProof/>
            <w:webHidden/>
          </w:rPr>
          <w:t>8</w:t>
        </w:r>
      </w:hyperlink>
    </w:p>
    <w:p w14:paraId="6E48B996" w14:textId="162459FA" w:rsidR="006933BA" w:rsidRPr="002329BA"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38" w:history="1">
        <w:r>
          <w:rPr>
            <w:rStyle w:val="Hyperlink"/>
            <w:rFonts w:ascii="Arial" w:eastAsia="Times New Roman" w:hAnsi="Arial" w:cs="Arial"/>
            <w:b w:val="0"/>
            <w:bCs w:val="0"/>
            <w:noProof/>
            <w:lang w:eastAsia="en-GB"/>
          </w:rPr>
          <w:t>2</w:t>
        </w:r>
        <w:r w:rsidRPr="00DC4F66">
          <w:rPr>
            <w:rStyle w:val="Hyperlink"/>
            <w:rFonts w:ascii="Arial" w:eastAsia="Times New Roman" w:hAnsi="Arial" w:cs="Arial"/>
            <w:b w:val="0"/>
            <w:bCs w:val="0"/>
            <w:noProof/>
            <w:lang w:eastAsia="en-GB"/>
          </w:rPr>
          <w:t>.</w:t>
        </w:r>
        <w:r>
          <w:rPr>
            <w:rStyle w:val="Hyperlink"/>
            <w:rFonts w:ascii="Arial" w:eastAsia="Times New Roman" w:hAnsi="Arial" w:cs="Arial"/>
            <w:b w:val="0"/>
            <w:bCs w:val="0"/>
            <w:noProof/>
            <w:lang w:eastAsia="en-GB"/>
          </w:rPr>
          <w:t>2</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Key Assumption of cost of Capital</w:t>
        </w:r>
        <w:r w:rsidRPr="00DC4F66">
          <w:rPr>
            <w:rFonts w:ascii="Arial" w:hAnsi="Arial" w:cs="Arial"/>
            <w:b w:val="0"/>
            <w:bCs w:val="0"/>
            <w:noProof/>
            <w:webHidden/>
          </w:rPr>
          <w:tab/>
        </w:r>
        <w:r w:rsidR="001A0876">
          <w:rPr>
            <w:rFonts w:ascii="Arial" w:hAnsi="Arial" w:cs="Arial"/>
            <w:b w:val="0"/>
            <w:bCs w:val="0"/>
            <w:noProof/>
            <w:webHidden/>
          </w:rPr>
          <w:t>8-9</w:t>
        </w:r>
      </w:hyperlink>
    </w:p>
    <w:p w14:paraId="7704ACB2" w14:textId="77777777" w:rsidR="006933BA" w:rsidRPr="00DC4F66" w:rsidRDefault="006933BA" w:rsidP="006933BA">
      <w:pPr>
        <w:pStyle w:val="TOC1"/>
        <w:tabs>
          <w:tab w:val="right" w:leader="dot" w:pos="9016"/>
        </w:tabs>
        <w:spacing w:line="360" w:lineRule="auto"/>
        <w:rPr>
          <w:rFonts w:ascii="Arial" w:eastAsiaTheme="minorEastAsia" w:hAnsi="Arial" w:cs="Arial"/>
          <w:b w:val="0"/>
          <w:bCs w:val="0"/>
          <w:i w:val="0"/>
          <w:iCs w:val="0"/>
          <w:noProof/>
          <w:sz w:val="22"/>
          <w:szCs w:val="22"/>
          <w:lang w:eastAsia="en-GB"/>
        </w:rPr>
      </w:pPr>
      <w:hyperlink w:anchor="_Toc185148339" w:history="1">
        <w:r>
          <w:rPr>
            <w:rStyle w:val="Hyperlink"/>
            <w:rFonts w:ascii="Arial" w:eastAsia="Times New Roman" w:hAnsi="Arial" w:cs="Arial"/>
            <w:b w:val="0"/>
            <w:bCs w:val="0"/>
            <w:noProof/>
            <w:sz w:val="22"/>
            <w:szCs w:val="22"/>
            <w:lang w:eastAsia="en-GB"/>
          </w:rPr>
          <w:t>2</w:t>
        </w:r>
        <w:r w:rsidRPr="00DC4F66">
          <w:rPr>
            <w:rStyle w:val="Hyperlink"/>
            <w:rFonts w:ascii="Arial" w:eastAsia="Times New Roman" w:hAnsi="Arial" w:cs="Arial"/>
            <w:b w:val="0"/>
            <w:bCs w:val="0"/>
            <w:noProof/>
            <w:sz w:val="22"/>
            <w:szCs w:val="22"/>
            <w:lang w:eastAsia="en-GB"/>
          </w:rPr>
          <w:t>.</w:t>
        </w:r>
        <w:r>
          <w:rPr>
            <w:rStyle w:val="Hyperlink"/>
            <w:rFonts w:ascii="Arial" w:eastAsia="Times New Roman" w:hAnsi="Arial" w:cs="Arial"/>
            <w:b w:val="0"/>
            <w:bCs w:val="0"/>
            <w:noProof/>
            <w:sz w:val="22"/>
            <w:szCs w:val="22"/>
            <w:lang w:eastAsia="en-GB"/>
          </w:rPr>
          <w:t>3</w:t>
        </w:r>
        <w:r w:rsidRPr="00D26E7B">
          <w:t xml:space="preserve"> </w:t>
        </w:r>
        <w:r w:rsidRPr="00D26E7B">
          <w:rPr>
            <w:rStyle w:val="Hyperlink"/>
            <w:rFonts w:ascii="Arial" w:eastAsia="Times New Roman" w:hAnsi="Arial" w:cs="Arial"/>
            <w:b w:val="0"/>
            <w:bCs w:val="0"/>
            <w:noProof/>
            <w:sz w:val="22"/>
            <w:szCs w:val="22"/>
            <w:lang w:eastAsia="en-GB"/>
          </w:rPr>
          <w:t xml:space="preserve"> Calculation</w:t>
        </w:r>
        <w:r>
          <w:rPr>
            <w:rStyle w:val="Hyperlink"/>
            <w:rFonts w:ascii="Arial" w:eastAsia="Times New Roman" w:hAnsi="Arial" w:cs="Arial"/>
            <w:b w:val="0"/>
            <w:bCs w:val="0"/>
            <w:noProof/>
            <w:sz w:val="22"/>
            <w:szCs w:val="22"/>
            <w:lang w:eastAsia="en-GB"/>
          </w:rPr>
          <w:t xml:space="preserve"> the Equity Value and Business Valuation</w:t>
        </w:r>
        <w:r w:rsidRPr="00DC4F66">
          <w:rPr>
            <w:rFonts w:ascii="Arial" w:hAnsi="Arial" w:cs="Arial"/>
            <w:b w:val="0"/>
            <w:bCs w:val="0"/>
            <w:noProof/>
            <w:webHidden/>
            <w:sz w:val="22"/>
            <w:szCs w:val="22"/>
          </w:rPr>
          <w:tab/>
        </w:r>
        <w:r>
          <w:rPr>
            <w:rFonts w:ascii="Arial" w:hAnsi="Arial" w:cs="Arial"/>
            <w:b w:val="0"/>
            <w:bCs w:val="0"/>
            <w:noProof/>
            <w:webHidden/>
            <w:sz w:val="22"/>
            <w:szCs w:val="22"/>
          </w:rPr>
          <w:t>9-12</w:t>
        </w:r>
      </w:hyperlink>
    </w:p>
    <w:p w14:paraId="09621696" w14:textId="1780AA39" w:rsidR="006933BA" w:rsidRPr="00DC4F66"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40" w:history="1">
        <w:r>
          <w:rPr>
            <w:rStyle w:val="Hyperlink"/>
            <w:rFonts w:ascii="Arial" w:eastAsia="Times New Roman" w:hAnsi="Arial" w:cs="Arial"/>
            <w:b w:val="0"/>
            <w:bCs w:val="0"/>
            <w:noProof/>
            <w:lang w:eastAsia="en-GB"/>
          </w:rPr>
          <w:t>2</w:t>
        </w:r>
        <w:r w:rsidRPr="00DC4F66">
          <w:rPr>
            <w:rStyle w:val="Hyperlink"/>
            <w:rFonts w:ascii="Arial" w:eastAsia="Times New Roman" w:hAnsi="Arial" w:cs="Arial"/>
            <w:b w:val="0"/>
            <w:bCs w:val="0"/>
            <w:noProof/>
            <w:lang w:eastAsia="en-GB"/>
          </w:rPr>
          <w:t>.</w:t>
        </w:r>
        <w:r>
          <w:rPr>
            <w:rStyle w:val="Hyperlink"/>
            <w:rFonts w:ascii="Arial" w:eastAsia="Times New Roman" w:hAnsi="Arial" w:cs="Arial"/>
            <w:b w:val="0"/>
            <w:bCs w:val="0"/>
            <w:noProof/>
            <w:lang w:eastAsia="en-GB"/>
          </w:rPr>
          <w:t>4</w:t>
        </w:r>
        <w:r w:rsidRPr="00DC4F66">
          <w:rPr>
            <w:rStyle w:val="Hyperlink"/>
            <w:rFonts w:ascii="Arial" w:eastAsia="Times New Roman" w:hAnsi="Arial" w:cs="Arial"/>
            <w:b w:val="0"/>
            <w:bCs w:val="0"/>
            <w:noProof/>
            <w:lang w:eastAsia="en-GB"/>
          </w:rPr>
          <w:t xml:space="preserve"> </w:t>
        </w:r>
        <w:r w:rsidRPr="00D26E7B">
          <w:rPr>
            <w:rStyle w:val="Hyperlink"/>
            <w:rFonts w:ascii="Arial" w:eastAsia="Times New Roman" w:hAnsi="Arial" w:cs="Arial"/>
            <w:b w:val="0"/>
            <w:bCs w:val="0"/>
            <w:noProof/>
            <w:lang w:eastAsia="en-GB"/>
          </w:rPr>
          <w:t xml:space="preserve">Justification </w:t>
        </w:r>
        <w:r>
          <w:rPr>
            <w:rStyle w:val="Hyperlink"/>
            <w:rFonts w:ascii="Arial" w:eastAsia="Times New Roman" w:hAnsi="Arial" w:cs="Arial"/>
            <w:b w:val="0"/>
            <w:bCs w:val="0"/>
            <w:noProof/>
            <w:lang w:eastAsia="en-GB"/>
          </w:rPr>
          <w:t>For Acquisition Premium</w:t>
        </w:r>
        <w:r w:rsidRPr="00DC4F66">
          <w:rPr>
            <w:rFonts w:ascii="Arial" w:hAnsi="Arial" w:cs="Arial"/>
            <w:b w:val="0"/>
            <w:bCs w:val="0"/>
            <w:noProof/>
            <w:webHidden/>
          </w:rPr>
          <w:tab/>
        </w:r>
        <w:r w:rsidR="00F0431E">
          <w:rPr>
            <w:rFonts w:ascii="Arial" w:hAnsi="Arial" w:cs="Arial"/>
            <w:b w:val="0"/>
            <w:bCs w:val="0"/>
            <w:noProof/>
            <w:webHidden/>
          </w:rPr>
          <w:t>12</w:t>
        </w:r>
      </w:hyperlink>
    </w:p>
    <w:p w14:paraId="13093DF4" w14:textId="77777777" w:rsidR="006933BA" w:rsidRPr="00DC4F66" w:rsidRDefault="006933BA" w:rsidP="006933BA">
      <w:pPr>
        <w:pStyle w:val="TOC1"/>
        <w:tabs>
          <w:tab w:val="right" w:leader="dot" w:pos="9016"/>
        </w:tabs>
        <w:spacing w:line="360" w:lineRule="auto"/>
        <w:rPr>
          <w:rFonts w:ascii="Arial" w:eastAsiaTheme="minorEastAsia" w:hAnsi="Arial" w:cs="Arial"/>
          <w:b w:val="0"/>
          <w:bCs w:val="0"/>
          <w:i w:val="0"/>
          <w:iCs w:val="0"/>
          <w:noProof/>
          <w:sz w:val="22"/>
          <w:szCs w:val="22"/>
          <w:lang w:eastAsia="en-GB"/>
        </w:rPr>
      </w:pPr>
      <w:hyperlink w:anchor="_Toc185148342" w:history="1">
        <w:r>
          <w:rPr>
            <w:rStyle w:val="Hyperlink"/>
            <w:rFonts w:ascii="Arial" w:eastAsia="Times New Roman" w:hAnsi="Arial" w:cs="Arial"/>
            <w:b w:val="0"/>
            <w:bCs w:val="0"/>
            <w:noProof/>
            <w:sz w:val="22"/>
            <w:szCs w:val="22"/>
            <w:lang w:eastAsia="en-GB"/>
          </w:rPr>
          <w:t>3</w:t>
        </w:r>
        <w:r w:rsidRPr="00DC4F66">
          <w:rPr>
            <w:rStyle w:val="Hyperlink"/>
            <w:rFonts w:ascii="Arial" w:eastAsia="Times New Roman" w:hAnsi="Arial" w:cs="Arial"/>
            <w:b w:val="0"/>
            <w:bCs w:val="0"/>
            <w:noProof/>
            <w:sz w:val="22"/>
            <w:szCs w:val="22"/>
            <w:lang w:eastAsia="en-GB"/>
          </w:rPr>
          <w:t xml:space="preserve">.0 </w:t>
        </w:r>
        <w:r>
          <w:rPr>
            <w:rStyle w:val="Hyperlink"/>
            <w:rFonts w:ascii="Arial" w:eastAsia="Times New Roman" w:hAnsi="Arial" w:cs="Arial"/>
            <w:b w:val="0"/>
            <w:bCs w:val="0"/>
            <w:noProof/>
            <w:sz w:val="22"/>
            <w:szCs w:val="22"/>
            <w:lang w:eastAsia="en-GB"/>
          </w:rPr>
          <w:t xml:space="preserve">Shell is Potential </w:t>
        </w:r>
        <w:r w:rsidRPr="00DC4F66">
          <w:rPr>
            <w:rStyle w:val="Hyperlink"/>
            <w:rFonts w:ascii="Arial" w:eastAsia="Times New Roman" w:hAnsi="Arial" w:cs="Arial"/>
            <w:b w:val="0"/>
            <w:bCs w:val="0"/>
            <w:noProof/>
            <w:sz w:val="22"/>
            <w:szCs w:val="22"/>
            <w:lang w:eastAsia="en-GB"/>
          </w:rPr>
          <w:t xml:space="preserve">Rival Bidder </w:t>
        </w:r>
        <w:r w:rsidRPr="00DC4F66">
          <w:rPr>
            <w:rFonts w:ascii="Arial" w:hAnsi="Arial" w:cs="Arial"/>
            <w:b w:val="0"/>
            <w:bCs w:val="0"/>
            <w:noProof/>
            <w:webHidden/>
            <w:sz w:val="22"/>
            <w:szCs w:val="22"/>
          </w:rPr>
          <w:tab/>
        </w:r>
        <w:r>
          <w:rPr>
            <w:rFonts w:ascii="Arial" w:hAnsi="Arial" w:cs="Arial"/>
            <w:b w:val="0"/>
            <w:bCs w:val="0"/>
            <w:noProof/>
            <w:webHidden/>
            <w:sz w:val="22"/>
            <w:szCs w:val="22"/>
          </w:rPr>
          <w:t>13</w:t>
        </w:r>
      </w:hyperlink>
    </w:p>
    <w:p w14:paraId="649A7BBA" w14:textId="5C0BB562" w:rsidR="006933BA" w:rsidRPr="00AE1E6F"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43" w:history="1">
        <w:r>
          <w:rPr>
            <w:rStyle w:val="Hyperlink"/>
            <w:rFonts w:ascii="Arial" w:eastAsia="Times New Roman" w:hAnsi="Arial" w:cs="Arial"/>
            <w:b w:val="0"/>
            <w:bCs w:val="0"/>
            <w:noProof/>
            <w:lang w:eastAsia="en-GB"/>
          </w:rPr>
          <w:t>4</w:t>
        </w:r>
        <w:r w:rsidRPr="00DC4F66">
          <w:rPr>
            <w:rStyle w:val="Hyperlink"/>
            <w:rFonts w:ascii="Arial" w:eastAsia="Times New Roman" w:hAnsi="Arial" w:cs="Arial"/>
            <w:b w:val="0"/>
            <w:bCs w:val="0"/>
            <w:noProof/>
            <w:lang w:eastAsia="en-GB"/>
          </w:rPr>
          <w:t>.</w:t>
        </w:r>
        <w:r>
          <w:rPr>
            <w:rStyle w:val="Hyperlink"/>
            <w:rFonts w:ascii="Arial" w:eastAsia="Times New Roman" w:hAnsi="Arial" w:cs="Arial"/>
            <w:b w:val="0"/>
            <w:bCs w:val="0"/>
            <w:noProof/>
            <w:lang w:eastAsia="en-GB"/>
          </w:rPr>
          <w:t>0</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Business Valuation Method</w:t>
        </w:r>
        <w:r w:rsidRPr="00DC4F66">
          <w:rPr>
            <w:rStyle w:val="Hyperlink"/>
            <w:rFonts w:ascii="Arial" w:eastAsia="Times New Roman" w:hAnsi="Arial" w:cs="Arial"/>
            <w:b w:val="0"/>
            <w:bCs w:val="0"/>
            <w:noProof/>
            <w:lang w:eastAsia="en-GB"/>
          </w:rPr>
          <w:t xml:space="preserve"> on</w:t>
        </w:r>
        <w:r w:rsidRPr="00DC4F66">
          <w:rPr>
            <w:rFonts w:ascii="Arial" w:hAnsi="Arial" w:cs="Arial"/>
            <w:b w:val="0"/>
            <w:bCs w:val="0"/>
            <w:noProof/>
            <w:webHidden/>
          </w:rPr>
          <w:tab/>
        </w:r>
        <w:r w:rsidR="00BE5E72">
          <w:rPr>
            <w:rFonts w:ascii="Arial" w:hAnsi="Arial" w:cs="Arial"/>
            <w:b w:val="0"/>
            <w:bCs w:val="0"/>
            <w:noProof/>
            <w:webHidden/>
          </w:rPr>
          <w:t>13-14</w:t>
        </w:r>
      </w:hyperlink>
    </w:p>
    <w:p w14:paraId="1589705B" w14:textId="77777777" w:rsidR="006933BA" w:rsidRPr="00EF7E9E"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45" w:history="1">
        <w:r>
          <w:rPr>
            <w:rStyle w:val="Hyperlink"/>
            <w:rFonts w:ascii="Arial" w:eastAsia="Times New Roman" w:hAnsi="Arial" w:cs="Arial"/>
            <w:b w:val="0"/>
            <w:bCs w:val="0"/>
            <w:noProof/>
            <w:lang w:eastAsia="en-GB"/>
          </w:rPr>
          <w:t>4</w:t>
        </w:r>
        <w:r w:rsidRPr="00DC4F66">
          <w:rPr>
            <w:rStyle w:val="Hyperlink"/>
            <w:rFonts w:ascii="Arial" w:eastAsia="Times New Roman" w:hAnsi="Arial" w:cs="Arial"/>
            <w:b w:val="0"/>
            <w:bCs w:val="0"/>
            <w:noProof/>
            <w:lang w:eastAsia="en-GB"/>
          </w:rPr>
          <w:t xml:space="preserve">.1 </w:t>
        </w:r>
        <w:r>
          <w:rPr>
            <w:rStyle w:val="Hyperlink"/>
            <w:rFonts w:ascii="Arial" w:eastAsia="Times New Roman" w:hAnsi="Arial" w:cs="Arial"/>
            <w:b w:val="0"/>
            <w:bCs w:val="0"/>
            <w:noProof/>
            <w:lang w:eastAsia="en-GB"/>
          </w:rPr>
          <w:t>Challenges in Achieving Anticipated Gains</w:t>
        </w:r>
        <w:r w:rsidRPr="00DC4F66">
          <w:rPr>
            <w:rFonts w:ascii="Arial" w:hAnsi="Arial" w:cs="Arial"/>
            <w:b w:val="0"/>
            <w:bCs w:val="0"/>
            <w:noProof/>
            <w:webHidden/>
          </w:rPr>
          <w:tab/>
        </w:r>
        <w:r>
          <w:rPr>
            <w:rFonts w:ascii="Arial" w:hAnsi="Arial" w:cs="Arial"/>
            <w:b w:val="0"/>
            <w:bCs w:val="0"/>
            <w:noProof/>
            <w:webHidden/>
          </w:rPr>
          <w:t>14-15</w:t>
        </w:r>
      </w:hyperlink>
    </w:p>
    <w:p w14:paraId="54A8081B" w14:textId="77777777" w:rsidR="006933BA" w:rsidRPr="00DC4F66" w:rsidRDefault="006933BA" w:rsidP="006933BA">
      <w:pPr>
        <w:pStyle w:val="TOC2"/>
        <w:tabs>
          <w:tab w:val="right" w:leader="dot" w:pos="9016"/>
        </w:tabs>
        <w:spacing w:line="360" w:lineRule="auto"/>
        <w:rPr>
          <w:rFonts w:ascii="Arial" w:eastAsiaTheme="minorEastAsia" w:hAnsi="Arial" w:cs="Arial"/>
          <w:b w:val="0"/>
          <w:bCs w:val="0"/>
          <w:noProof/>
          <w:lang w:eastAsia="en-GB"/>
        </w:rPr>
      </w:pPr>
      <w:hyperlink w:anchor="_Toc185148348" w:history="1">
        <w:r w:rsidRPr="00DC4F66">
          <w:rPr>
            <w:rStyle w:val="Hyperlink"/>
            <w:rFonts w:ascii="Arial" w:hAnsi="Arial" w:cs="Arial"/>
            <w:b w:val="0"/>
            <w:bCs w:val="0"/>
            <w:noProof/>
            <w:lang w:eastAsia="en-GB"/>
          </w:rPr>
          <w:t xml:space="preserve">APPENDIX 1: </w:t>
        </w:r>
        <w:r>
          <w:rPr>
            <w:rStyle w:val="Hyperlink"/>
            <w:rFonts w:ascii="Arial" w:hAnsi="Arial" w:cs="Arial"/>
            <w:b w:val="0"/>
            <w:bCs w:val="0"/>
            <w:noProof/>
            <w:lang w:eastAsia="en-GB"/>
          </w:rPr>
          <w:t xml:space="preserve">Learning Logs </w:t>
        </w:r>
        <w:r w:rsidRPr="00DC4F66">
          <w:rPr>
            <w:rFonts w:ascii="Arial" w:hAnsi="Arial" w:cs="Arial"/>
            <w:b w:val="0"/>
            <w:bCs w:val="0"/>
            <w:noProof/>
            <w:webHidden/>
          </w:rPr>
          <w:tab/>
        </w:r>
        <w:r>
          <w:rPr>
            <w:rFonts w:ascii="Arial" w:hAnsi="Arial" w:cs="Arial"/>
            <w:b w:val="0"/>
            <w:bCs w:val="0"/>
            <w:noProof/>
            <w:webHidden/>
          </w:rPr>
          <w:t>16-23</w:t>
        </w:r>
      </w:hyperlink>
    </w:p>
    <w:p w14:paraId="4D4BE4BA" w14:textId="77777777" w:rsidR="006933BA" w:rsidRPr="00362455" w:rsidRDefault="006933BA" w:rsidP="006933BA">
      <w:pPr>
        <w:pStyle w:val="TOC2"/>
        <w:tabs>
          <w:tab w:val="right" w:leader="dot" w:pos="9016"/>
        </w:tabs>
        <w:spacing w:line="360" w:lineRule="auto"/>
        <w:rPr>
          <w:rFonts w:ascii="Arial" w:hAnsi="Arial" w:cs="Arial"/>
          <w:b w:val="0"/>
          <w:bCs w:val="0"/>
          <w:noProof/>
        </w:rPr>
      </w:pPr>
      <w:hyperlink w:anchor="_Toc185148350" w:history="1">
        <w:r w:rsidRPr="00DC4F66">
          <w:rPr>
            <w:rStyle w:val="Hyperlink"/>
            <w:rFonts w:ascii="Arial" w:eastAsia="Times New Roman" w:hAnsi="Arial" w:cs="Arial"/>
            <w:b w:val="0"/>
            <w:bCs w:val="0"/>
            <w:noProof/>
            <w:lang w:eastAsia="en-GB"/>
          </w:rPr>
          <w:t xml:space="preserve">APPENDIX 2: </w:t>
        </w:r>
        <w:r>
          <w:rPr>
            <w:rStyle w:val="Hyperlink"/>
            <w:rFonts w:ascii="Arial" w:eastAsia="Times New Roman" w:hAnsi="Arial" w:cs="Arial"/>
            <w:b w:val="0"/>
            <w:bCs w:val="0"/>
            <w:noProof/>
            <w:lang w:eastAsia="en-GB"/>
          </w:rPr>
          <w:t>Valuation Result of  Using cash flow</w:t>
        </w:r>
        <w:r w:rsidRPr="00DC4F66">
          <w:rPr>
            <w:rFonts w:ascii="Arial" w:hAnsi="Arial" w:cs="Arial"/>
            <w:b w:val="0"/>
            <w:bCs w:val="0"/>
            <w:noProof/>
            <w:webHidden/>
          </w:rPr>
          <w:tab/>
        </w:r>
        <w:r>
          <w:rPr>
            <w:rFonts w:ascii="Arial" w:hAnsi="Arial" w:cs="Arial"/>
            <w:b w:val="0"/>
            <w:bCs w:val="0"/>
            <w:noProof/>
            <w:webHidden/>
          </w:rPr>
          <w:t>24</w:t>
        </w:r>
      </w:hyperlink>
    </w:p>
    <w:p w14:paraId="73928324" w14:textId="77777777" w:rsidR="006933BA" w:rsidRDefault="006933BA" w:rsidP="006933BA">
      <w:pPr>
        <w:pStyle w:val="TOC2"/>
        <w:tabs>
          <w:tab w:val="right" w:leader="dot" w:pos="9016"/>
        </w:tabs>
        <w:spacing w:line="360" w:lineRule="auto"/>
        <w:rPr>
          <w:rFonts w:ascii="Arial" w:hAnsi="Arial" w:cs="Arial"/>
          <w:b w:val="0"/>
          <w:bCs w:val="0"/>
          <w:noProof/>
        </w:rPr>
      </w:pPr>
      <w:r>
        <w:t xml:space="preserve">  </w:t>
      </w:r>
      <w:hyperlink w:anchor="_Toc185148350" w:history="1">
        <w:r w:rsidRPr="00DC4F66">
          <w:rPr>
            <w:rStyle w:val="Hyperlink"/>
            <w:rFonts w:ascii="Arial" w:eastAsia="Times New Roman" w:hAnsi="Arial" w:cs="Arial"/>
            <w:b w:val="0"/>
            <w:bCs w:val="0"/>
            <w:noProof/>
            <w:lang w:eastAsia="en-GB"/>
          </w:rPr>
          <w:t xml:space="preserve">APPENDIX </w:t>
        </w:r>
        <w:r>
          <w:rPr>
            <w:rStyle w:val="Hyperlink"/>
            <w:rFonts w:ascii="Arial" w:eastAsia="Times New Roman" w:hAnsi="Arial" w:cs="Arial"/>
            <w:b w:val="0"/>
            <w:bCs w:val="0"/>
            <w:noProof/>
            <w:lang w:eastAsia="en-GB"/>
          </w:rPr>
          <w:t>3</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Travel Revenue Growth Projection</w:t>
        </w:r>
        <w:r w:rsidRPr="00DC4F66">
          <w:rPr>
            <w:rFonts w:ascii="Arial" w:hAnsi="Arial" w:cs="Arial"/>
            <w:b w:val="0"/>
            <w:bCs w:val="0"/>
            <w:noProof/>
            <w:webHidden/>
          </w:rPr>
          <w:tab/>
        </w:r>
        <w:r>
          <w:rPr>
            <w:rFonts w:ascii="Arial" w:hAnsi="Arial" w:cs="Arial"/>
            <w:b w:val="0"/>
            <w:bCs w:val="0"/>
            <w:noProof/>
            <w:webHidden/>
          </w:rPr>
          <w:t>25</w:t>
        </w:r>
      </w:hyperlink>
    </w:p>
    <w:p w14:paraId="56BDF888" w14:textId="77777777" w:rsidR="006933BA" w:rsidRDefault="006933BA" w:rsidP="006933BA">
      <w:pPr>
        <w:pStyle w:val="TOC2"/>
        <w:tabs>
          <w:tab w:val="right" w:leader="dot" w:pos="9016"/>
        </w:tabs>
        <w:spacing w:line="360" w:lineRule="auto"/>
        <w:rPr>
          <w:rFonts w:ascii="Arial" w:hAnsi="Arial" w:cs="Arial"/>
          <w:b w:val="0"/>
          <w:bCs w:val="0"/>
          <w:noProof/>
        </w:rPr>
      </w:pPr>
      <w:r>
        <w:t xml:space="preserve">  </w:t>
      </w:r>
      <w:hyperlink w:anchor="_Toc185148350" w:history="1">
        <w:r w:rsidRPr="00DC4F66">
          <w:rPr>
            <w:rStyle w:val="Hyperlink"/>
            <w:rFonts w:ascii="Arial" w:eastAsia="Times New Roman" w:hAnsi="Arial" w:cs="Arial"/>
            <w:b w:val="0"/>
            <w:bCs w:val="0"/>
            <w:noProof/>
            <w:lang w:eastAsia="en-GB"/>
          </w:rPr>
          <w:t xml:space="preserve">APPENDIX </w:t>
        </w:r>
        <w:r>
          <w:rPr>
            <w:rStyle w:val="Hyperlink"/>
            <w:rFonts w:ascii="Arial" w:eastAsia="Times New Roman" w:hAnsi="Arial" w:cs="Arial"/>
            <w:b w:val="0"/>
            <w:bCs w:val="0"/>
            <w:noProof/>
            <w:lang w:eastAsia="en-GB"/>
          </w:rPr>
          <w:t>4</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WACC Caculation</w:t>
        </w:r>
        <w:r w:rsidRPr="00DC4F66">
          <w:rPr>
            <w:rFonts w:ascii="Arial" w:hAnsi="Arial" w:cs="Arial"/>
            <w:b w:val="0"/>
            <w:bCs w:val="0"/>
            <w:noProof/>
            <w:webHidden/>
          </w:rPr>
          <w:tab/>
        </w:r>
        <w:r>
          <w:rPr>
            <w:rFonts w:ascii="Arial" w:hAnsi="Arial" w:cs="Arial"/>
            <w:b w:val="0"/>
            <w:bCs w:val="0"/>
            <w:noProof/>
            <w:webHidden/>
          </w:rPr>
          <w:t>26</w:t>
        </w:r>
      </w:hyperlink>
    </w:p>
    <w:p w14:paraId="50F46E5E" w14:textId="77777777" w:rsidR="006933BA" w:rsidRDefault="006933BA" w:rsidP="006933BA">
      <w:pPr>
        <w:pStyle w:val="TOC2"/>
        <w:tabs>
          <w:tab w:val="right" w:leader="dot" w:pos="9016"/>
        </w:tabs>
        <w:spacing w:line="360" w:lineRule="auto"/>
        <w:rPr>
          <w:rFonts w:ascii="Arial" w:hAnsi="Arial" w:cs="Arial"/>
          <w:b w:val="0"/>
          <w:bCs w:val="0"/>
          <w:noProof/>
        </w:rPr>
      </w:pPr>
      <w:hyperlink w:anchor="_Toc185148350" w:history="1">
        <w:r w:rsidRPr="00DC4F66">
          <w:rPr>
            <w:rStyle w:val="Hyperlink"/>
            <w:rFonts w:ascii="Arial" w:eastAsia="Times New Roman" w:hAnsi="Arial" w:cs="Arial"/>
            <w:b w:val="0"/>
            <w:bCs w:val="0"/>
            <w:noProof/>
            <w:lang w:eastAsia="en-GB"/>
          </w:rPr>
          <w:t xml:space="preserve">APPENDIX </w:t>
        </w:r>
        <w:r>
          <w:rPr>
            <w:rStyle w:val="Hyperlink"/>
            <w:rFonts w:ascii="Arial" w:eastAsia="Times New Roman" w:hAnsi="Arial" w:cs="Arial"/>
            <w:b w:val="0"/>
            <w:bCs w:val="0"/>
            <w:noProof/>
            <w:lang w:eastAsia="en-GB"/>
          </w:rPr>
          <w:t>5</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Profit Margin</w:t>
        </w:r>
        <w:r w:rsidRPr="00DC4F66">
          <w:rPr>
            <w:rFonts w:ascii="Arial" w:hAnsi="Arial" w:cs="Arial"/>
            <w:b w:val="0"/>
            <w:bCs w:val="0"/>
            <w:noProof/>
            <w:webHidden/>
          </w:rPr>
          <w:tab/>
        </w:r>
        <w:r w:rsidRPr="00EF7E9E">
          <w:rPr>
            <w:rFonts w:ascii="Arial" w:hAnsi="Arial" w:cs="Arial"/>
            <w:b w:val="0"/>
            <w:bCs w:val="0"/>
            <w:noProof/>
            <w:webHidden/>
          </w:rPr>
          <w:t>26</w:t>
        </w:r>
      </w:hyperlink>
    </w:p>
    <w:p w14:paraId="4C3AFABE" w14:textId="77777777" w:rsidR="006933BA" w:rsidRDefault="006933BA" w:rsidP="006933BA">
      <w:pPr>
        <w:pStyle w:val="TOC2"/>
        <w:tabs>
          <w:tab w:val="right" w:leader="dot" w:pos="9016"/>
        </w:tabs>
        <w:spacing w:line="360" w:lineRule="auto"/>
        <w:rPr>
          <w:rFonts w:ascii="Arial" w:hAnsi="Arial" w:cs="Arial"/>
          <w:b w:val="0"/>
          <w:bCs w:val="0"/>
          <w:noProof/>
        </w:rPr>
      </w:pPr>
      <w:hyperlink w:anchor="_Toc185148350" w:history="1">
        <w:r w:rsidRPr="00DC4F66">
          <w:rPr>
            <w:rStyle w:val="Hyperlink"/>
            <w:rFonts w:ascii="Arial" w:eastAsia="Times New Roman" w:hAnsi="Arial" w:cs="Arial"/>
            <w:b w:val="0"/>
            <w:bCs w:val="0"/>
            <w:noProof/>
            <w:lang w:eastAsia="en-GB"/>
          </w:rPr>
          <w:t xml:space="preserve">APPENDIX </w:t>
        </w:r>
        <w:r>
          <w:rPr>
            <w:rStyle w:val="Hyperlink"/>
            <w:rFonts w:ascii="Arial" w:eastAsia="Times New Roman" w:hAnsi="Arial" w:cs="Arial"/>
            <w:b w:val="0"/>
            <w:bCs w:val="0"/>
            <w:noProof/>
            <w:lang w:eastAsia="en-GB"/>
          </w:rPr>
          <w:t>6</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Cosolidated Statement of Operation</w:t>
        </w:r>
        <w:r w:rsidRPr="00DC4F66">
          <w:rPr>
            <w:rFonts w:ascii="Arial" w:hAnsi="Arial" w:cs="Arial"/>
            <w:b w:val="0"/>
            <w:bCs w:val="0"/>
            <w:noProof/>
            <w:webHidden/>
          </w:rPr>
          <w:tab/>
        </w:r>
        <w:r>
          <w:rPr>
            <w:rFonts w:ascii="Arial" w:hAnsi="Arial" w:cs="Arial"/>
            <w:b w:val="0"/>
            <w:bCs w:val="0"/>
            <w:noProof/>
            <w:webHidden/>
          </w:rPr>
          <w:t>27</w:t>
        </w:r>
      </w:hyperlink>
    </w:p>
    <w:p w14:paraId="0DB228C3" w14:textId="77777777" w:rsidR="006933BA" w:rsidRDefault="006933BA" w:rsidP="006933BA">
      <w:pPr>
        <w:pStyle w:val="TOC2"/>
        <w:tabs>
          <w:tab w:val="right" w:leader="dot" w:pos="9016"/>
        </w:tabs>
        <w:spacing w:line="360" w:lineRule="auto"/>
        <w:rPr>
          <w:rFonts w:ascii="Arial" w:hAnsi="Arial" w:cs="Arial"/>
          <w:b w:val="0"/>
          <w:bCs w:val="0"/>
          <w:noProof/>
        </w:rPr>
      </w:pPr>
      <w:hyperlink w:anchor="_Toc185148350" w:history="1">
        <w:r w:rsidRPr="00DC4F66">
          <w:rPr>
            <w:rStyle w:val="Hyperlink"/>
            <w:rFonts w:ascii="Arial" w:eastAsia="Times New Roman" w:hAnsi="Arial" w:cs="Arial"/>
            <w:b w:val="0"/>
            <w:bCs w:val="0"/>
            <w:noProof/>
            <w:lang w:eastAsia="en-GB"/>
          </w:rPr>
          <w:t xml:space="preserve">APPENDIX </w:t>
        </w:r>
        <w:r>
          <w:rPr>
            <w:rStyle w:val="Hyperlink"/>
            <w:rFonts w:ascii="Arial" w:eastAsia="Times New Roman" w:hAnsi="Arial" w:cs="Arial"/>
            <w:b w:val="0"/>
            <w:bCs w:val="0"/>
            <w:noProof/>
            <w:lang w:eastAsia="en-GB"/>
          </w:rPr>
          <w:t>7</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Cosolidated Statenment of Cash flow</w:t>
        </w:r>
        <w:r w:rsidRPr="00DC4F66">
          <w:rPr>
            <w:rFonts w:ascii="Arial" w:hAnsi="Arial" w:cs="Arial"/>
            <w:b w:val="0"/>
            <w:bCs w:val="0"/>
            <w:noProof/>
            <w:webHidden/>
          </w:rPr>
          <w:tab/>
        </w:r>
        <w:r>
          <w:rPr>
            <w:rFonts w:ascii="Arial" w:hAnsi="Arial" w:cs="Arial"/>
            <w:b w:val="0"/>
            <w:bCs w:val="0"/>
            <w:noProof/>
            <w:webHidden/>
          </w:rPr>
          <w:t>28</w:t>
        </w:r>
      </w:hyperlink>
    </w:p>
    <w:p w14:paraId="06D27D3C" w14:textId="12AF7814" w:rsidR="006933BA" w:rsidRPr="00EF7E9E" w:rsidRDefault="006933BA" w:rsidP="006933BA">
      <w:pPr>
        <w:pStyle w:val="TOC2"/>
        <w:tabs>
          <w:tab w:val="right" w:leader="dot" w:pos="9016"/>
        </w:tabs>
        <w:spacing w:line="360" w:lineRule="auto"/>
        <w:rPr>
          <w:rFonts w:ascii="Arial" w:hAnsi="Arial" w:cs="Arial"/>
          <w:b w:val="0"/>
          <w:bCs w:val="0"/>
          <w:noProof/>
        </w:rPr>
      </w:pPr>
      <w:hyperlink w:anchor="_Toc185148350" w:history="1">
        <w:r w:rsidRPr="00DC4F66">
          <w:rPr>
            <w:rStyle w:val="Hyperlink"/>
            <w:rFonts w:ascii="Arial" w:eastAsia="Times New Roman" w:hAnsi="Arial" w:cs="Arial"/>
            <w:b w:val="0"/>
            <w:bCs w:val="0"/>
            <w:noProof/>
            <w:lang w:eastAsia="en-GB"/>
          </w:rPr>
          <w:t xml:space="preserve">APPENDIX </w:t>
        </w:r>
        <w:r w:rsidR="00912606">
          <w:rPr>
            <w:rStyle w:val="Hyperlink"/>
            <w:rFonts w:ascii="Arial" w:eastAsia="Times New Roman" w:hAnsi="Arial" w:cs="Arial"/>
            <w:b w:val="0"/>
            <w:bCs w:val="0"/>
            <w:noProof/>
            <w:lang w:eastAsia="en-GB"/>
          </w:rPr>
          <w:t>8</w:t>
        </w:r>
        <w:r w:rsidRPr="00DC4F66">
          <w:rPr>
            <w:rStyle w:val="Hyperlink"/>
            <w:rFonts w:ascii="Arial" w:eastAsia="Times New Roman" w:hAnsi="Arial" w:cs="Arial"/>
            <w:b w:val="0"/>
            <w:bCs w:val="0"/>
            <w:noProof/>
            <w:lang w:eastAsia="en-GB"/>
          </w:rPr>
          <w:t xml:space="preserve">: </w:t>
        </w:r>
        <w:r>
          <w:rPr>
            <w:rStyle w:val="Hyperlink"/>
            <w:rFonts w:ascii="Arial" w:eastAsia="Times New Roman" w:hAnsi="Arial" w:cs="Arial"/>
            <w:b w:val="0"/>
            <w:bCs w:val="0"/>
            <w:noProof/>
            <w:lang w:eastAsia="en-GB"/>
          </w:rPr>
          <w:t>Cosolidated Balance Sheet</w:t>
        </w:r>
        <w:r w:rsidRPr="00DC4F66">
          <w:rPr>
            <w:rFonts w:ascii="Arial" w:hAnsi="Arial" w:cs="Arial"/>
            <w:b w:val="0"/>
            <w:bCs w:val="0"/>
            <w:noProof/>
            <w:webHidden/>
          </w:rPr>
          <w:tab/>
        </w:r>
        <w:r>
          <w:rPr>
            <w:rFonts w:ascii="Arial" w:hAnsi="Arial" w:cs="Arial"/>
            <w:b w:val="0"/>
            <w:bCs w:val="0"/>
            <w:noProof/>
            <w:webHidden/>
          </w:rPr>
          <w:t>29</w:t>
        </w:r>
      </w:hyperlink>
    </w:p>
    <w:p w14:paraId="0127B31C" w14:textId="4B5F32CB" w:rsidR="008F2CFC" w:rsidRDefault="006933BA" w:rsidP="006933BA">
      <w:pPr>
        <w:spacing w:line="360" w:lineRule="auto"/>
        <w:rPr>
          <w:rFonts w:ascii="Arial" w:hAnsi="Arial" w:cs="Arial"/>
          <w:sz w:val="22"/>
          <w:szCs w:val="22"/>
        </w:rPr>
      </w:pPr>
      <w:hyperlink w:anchor="_Toc185148346" w:history="1">
        <w:r w:rsidRPr="00DC4F66">
          <w:rPr>
            <w:rStyle w:val="Hyperlink"/>
            <w:rFonts w:ascii="Arial" w:eastAsia="Times New Roman" w:hAnsi="Arial" w:cs="Arial"/>
            <w:noProof/>
            <w:sz w:val="22"/>
            <w:szCs w:val="22"/>
            <w:lang w:eastAsia="en-GB"/>
          </w:rPr>
          <w:t>REFERENCES</w:t>
        </w:r>
        <w:r w:rsidR="001D071F">
          <w:rPr>
            <w:rStyle w:val="Hyperlink"/>
            <w:rFonts w:ascii="Arial" w:eastAsia="Times New Roman" w:hAnsi="Arial" w:cs="Arial"/>
            <w:noProof/>
            <w:sz w:val="22"/>
            <w:szCs w:val="22"/>
            <w:lang w:eastAsia="en-GB"/>
          </w:rPr>
          <w:t>………………………………………………………………………………</w:t>
        </w:r>
        <w:r w:rsidR="001D3648">
          <w:rPr>
            <w:rStyle w:val="Hyperlink"/>
            <w:rFonts w:ascii="Arial" w:eastAsia="Times New Roman" w:hAnsi="Arial" w:cs="Arial"/>
            <w:noProof/>
            <w:sz w:val="22"/>
            <w:szCs w:val="22"/>
            <w:lang w:eastAsia="en-GB"/>
          </w:rPr>
          <w:t>30-34</w:t>
        </w:r>
        <w:r w:rsidRPr="00DC4F66">
          <w:rPr>
            <w:rFonts w:ascii="Arial" w:hAnsi="Arial" w:cs="Arial"/>
            <w:noProof/>
            <w:webHidden/>
            <w:sz w:val="22"/>
            <w:szCs w:val="22"/>
          </w:rPr>
          <w:tab/>
        </w:r>
      </w:hyperlink>
    </w:p>
    <w:p w14:paraId="46CA5064" w14:textId="2A401368" w:rsidR="008F2CFC" w:rsidRPr="008F2CFC" w:rsidRDefault="008F2CFC" w:rsidP="00AE44FE">
      <w:pPr>
        <w:spacing w:line="360" w:lineRule="auto"/>
        <w:rPr>
          <w:rFonts w:ascii="Arial" w:hAnsi="Arial" w:cs="Arial"/>
          <w:sz w:val="22"/>
          <w:szCs w:val="22"/>
        </w:rPr>
      </w:pPr>
      <w:r w:rsidRPr="008F2CFC">
        <w:rPr>
          <w:rFonts w:ascii="Arial" w:hAnsi="Arial" w:cs="Arial"/>
          <w:i/>
          <w:iCs/>
          <w:sz w:val="22"/>
          <w:szCs w:val="22"/>
        </w:rPr>
        <w:fldChar w:fldCharType="begin"/>
      </w:r>
      <w:r w:rsidRPr="008F2CFC">
        <w:rPr>
          <w:rFonts w:ascii="Arial" w:hAnsi="Arial" w:cs="Arial"/>
          <w:i/>
          <w:iCs/>
          <w:sz w:val="22"/>
          <w:szCs w:val="22"/>
        </w:rPr>
        <w:instrText xml:space="preserve"> TOC \o "1-3" \h \z \u </w:instrText>
      </w:r>
      <w:r w:rsidRPr="008F2CFC">
        <w:rPr>
          <w:rFonts w:ascii="Arial" w:hAnsi="Arial" w:cs="Arial"/>
          <w:i/>
          <w:iCs/>
          <w:sz w:val="22"/>
          <w:szCs w:val="22"/>
        </w:rPr>
        <w:fldChar w:fldCharType="separate"/>
      </w:r>
    </w:p>
    <w:p w14:paraId="6E220532" w14:textId="3360B085" w:rsidR="001C60E3" w:rsidRDefault="008F2CFC" w:rsidP="00FE731B">
      <w:pPr>
        <w:spacing w:line="360" w:lineRule="auto"/>
        <w:rPr>
          <w:rFonts w:ascii="Arial" w:hAnsi="Arial" w:cs="Arial"/>
          <w:sz w:val="22"/>
          <w:szCs w:val="22"/>
        </w:rPr>
      </w:pPr>
      <w:r w:rsidRPr="008F2CFC">
        <w:rPr>
          <w:rFonts w:ascii="Arial" w:hAnsi="Arial" w:cs="Arial"/>
          <w:sz w:val="22"/>
          <w:szCs w:val="22"/>
        </w:rPr>
        <w:lastRenderedPageBreak/>
        <w:fldChar w:fldCharType="end"/>
      </w:r>
    </w:p>
    <w:p w14:paraId="4AB95CB9" w14:textId="77777777" w:rsidR="001C60E3" w:rsidRDefault="001C60E3" w:rsidP="00FE731B">
      <w:pPr>
        <w:spacing w:line="360" w:lineRule="auto"/>
        <w:rPr>
          <w:rFonts w:ascii="Arial" w:hAnsi="Arial" w:cs="Arial"/>
          <w:sz w:val="22"/>
          <w:szCs w:val="22"/>
        </w:rPr>
      </w:pPr>
    </w:p>
    <w:p w14:paraId="011D7A4F" w14:textId="77777777" w:rsidR="00FE731B" w:rsidRDefault="00FE731B" w:rsidP="00FE731B">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3539"/>
        <w:gridCol w:w="3686"/>
      </w:tblGrid>
      <w:tr w:rsidR="00961E6E" w14:paraId="56C9A5EA" w14:textId="77777777" w:rsidTr="00712BA7">
        <w:tc>
          <w:tcPr>
            <w:tcW w:w="3539" w:type="dxa"/>
          </w:tcPr>
          <w:p w14:paraId="0F386FE3" w14:textId="4FD73FBE" w:rsidR="00961E6E" w:rsidRPr="00432E33" w:rsidRDefault="00432E33" w:rsidP="00FE731B">
            <w:pPr>
              <w:spacing w:line="360" w:lineRule="auto"/>
              <w:rPr>
                <w:rFonts w:ascii="Arial" w:hAnsi="Arial" w:cs="Arial"/>
                <w:sz w:val="22"/>
                <w:szCs w:val="22"/>
              </w:rPr>
            </w:pPr>
            <w:r>
              <w:rPr>
                <w:rFonts w:ascii="Arial" w:hAnsi="Arial" w:cs="Arial"/>
                <w:sz w:val="22"/>
                <w:szCs w:val="22"/>
              </w:rPr>
              <w:t>BP PLC</w:t>
            </w:r>
          </w:p>
        </w:tc>
        <w:tc>
          <w:tcPr>
            <w:tcW w:w="3686" w:type="dxa"/>
          </w:tcPr>
          <w:p w14:paraId="0328FEF5" w14:textId="6D615CEE" w:rsidR="00961E6E" w:rsidRPr="00103728" w:rsidRDefault="00103728" w:rsidP="00FE731B">
            <w:pPr>
              <w:spacing w:line="360" w:lineRule="auto"/>
              <w:rPr>
                <w:rFonts w:ascii="Arial" w:hAnsi="Arial" w:cs="Arial"/>
                <w:sz w:val="22"/>
                <w:szCs w:val="22"/>
              </w:rPr>
            </w:pPr>
            <w:r>
              <w:rPr>
                <w:rFonts w:ascii="Arial" w:hAnsi="Arial" w:cs="Arial"/>
                <w:sz w:val="22"/>
                <w:szCs w:val="22"/>
              </w:rPr>
              <w:t>British Petrochemical corporation</w:t>
            </w:r>
          </w:p>
        </w:tc>
      </w:tr>
      <w:tr w:rsidR="00961E6E" w14:paraId="05C911B7" w14:textId="77777777" w:rsidTr="00712BA7">
        <w:tc>
          <w:tcPr>
            <w:tcW w:w="3539" w:type="dxa"/>
          </w:tcPr>
          <w:p w14:paraId="10EEE299" w14:textId="04535E1D" w:rsidR="00961E6E" w:rsidRPr="00103728" w:rsidRDefault="00103728" w:rsidP="00FE731B">
            <w:pPr>
              <w:spacing w:line="360" w:lineRule="auto"/>
              <w:rPr>
                <w:rFonts w:ascii="Arial" w:hAnsi="Arial" w:cs="Arial"/>
                <w:sz w:val="22"/>
                <w:szCs w:val="22"/>
              </w:rPr>
            </w:pPr>
            <w:r>
              <w:rPr>
                <w:rFonts w:ascii="Arial" w:hAnsi="Arial" w:cs="Arial"/>
                <w:sz w:val="22"/>
                <w:szCs w:val="22"/>
              </w:rPr>
              <w:t>TA</w:t>
            </w:r>
          </w:p>
        </w:tc>
        <w:tc>
          <w:tcPr>
            <w:tcW w:w="3686" w:type="dxa"/>
          </w:tcPr>
          <w:p w14:paraId="3777B0DE" w14:textId="6C68DCC3" w:rsidR="00961E6E" w:rsidRPr="004D083A" w:rsidRDefault="004D083A" w:rsidP="00FE731B">
            <w:pPr>
              <w:spacing w:line="360" w:lineRule="auto"/>
              <w:rPr>
                <w:rFonts w:ascii="Arial" w:hAnsi="Arial" w:cs="Arial"/>
                <w:sz w:val="22"/>
                <w:szCs w:val="22"/>
              </w:rPr>
            </w:pPr>
            <w:r>
              <w:rPr>
                <w:rFonts w:ascii="Arial" w:hAnsi="Arial" w:cs="Arial"/>
                <w:sz w:val="22"/>
                <w:szCs w:val="22"/>
              </w:rPr>
              <w:t>Travelcenters America</w:t>
            </w:r>
          </w:p>
        </w:tc>
      </w:tr>
      <w:tr w:rsidR="00961E6E" w14:paraId="6144A4C2" w14:textId="77777777" w:rsidTr="00712BA7">
        <w:tc>
          <w:tcPr>
            <w:tcW w:w="3539" w:type="dxa"/>
          </w:tcPr>
          <w:p w14:paraId="0DB93D86" w14:textId="06343969" w:rsidR="00961E6E" w:rsidRPr="004D083A" w:rsidRDefault="004D083A" w:rsidP="00FE731B">
            <w:pPr>
              <w:spacing w:line="360" w:lineRule="auto"/>
              <w:rPr>
                <w:rFonts w:ascii="Arial" w:hAnsi="Arial" w:cs="Arial"/>
                <w:sz w:val="22"/>
                <w:szCs w:val="22"/>
              </w:rPr>
            </w:pPr>
            <w:r>
              <w:rPr>
                <w:rFonts w:ascii="Arial" w:hAnsi="Arial" w:cs="Arial"/>
                <w:sz w:val="22"/>
                <w:szCs w:val="22"/>
              </w:rPr>
              <w:t xml:space="preserve">US </w:t>
            </w:r>
          </w:p>
        </w:tc>
        <w:tc>
          <w:tcPr>
            <w:tcW w:w="3686" w:type="dxa"/>
          </w:tcPr>
          <w:p w14:paraId="1679FF52" w14:textId="3475C994" w:rsidR="00961E6E" w:rsidRPr="004D083A" w:rsidRDefault="004D083A" w:rsidP="00FE731B">
            <w:pPr>
              <w:spacing w:line="360" w:lineRule="auto"/>
              <w:rPr>
                <w:rFonts w:ascii="Arial" w:hAnsi="Arial" w:cs="Arial"/>
                <w:sz w:val="22"/>
                <w:szCs w:val="22"/>
              </w:rPr>
            </w:pPr>
            <w:r>
              <w:rPr>
                <w:rFonts w:ascii="Arial" w:hAnsi="Arial" w:cs="Arial"/>
                <w:sz w:val="22"/>
                <w:szCs w:val="22"/>
              </w:rPr>
              <w:t>United State</w:t>
            </w:r>
          </w:p>
        </w:tc>
      </w:tr>
      <w:tr w:rsidR="00961E6E" w14:paraId="67A84918" w14:textId="77777777" w:rsidTr="00712BA7">
        <w:tc>
          <w:tcPr>
            <w:tcW w:w="3539" w:type="dxa"/>
          </w:tcPr>
          <w:p w14:paraId="21719A9E" w14:textId="2425DC45" w:rsidR="00961E6E" w:rsidRPr="004D083A" w:rsidRDefault="004D083A" w:rsidP="00FE731B">
            <w:pPr>
              <w:spacing w:line="360" w:lineRule="auto"/>
              <w:rPr>
                <w:rFonts w:ascii="Arial" w:hAnsi="Arial" w:cs="Arial"/>
                <w:sz w:val="22"/>
                <w:szCs w:val="22"/>
              </w:rPr>
            </w:pPr>
            <w:r>
              <w:rPr>
                <w:rFonts w:ascii="Arial" w:hAnsi="Arial" w:cs="Arial"/>
                <w:sz w:val="22"/>
                <w:szCs w:val="22"/>
              </w:rPr>
              <w:t>EV</w:t>
            </w:r>
          </w:p>
        </w:tc>
        <w:tc>
          <w:tcPr>
            <w:tcW w:w="3686" w:type="dxa"/>
          </w:tcPr>
          <w:p w14:paraId="1E4567B5" w14:textId="0E412DFE" w:rsidR="00961E6E" w:rsidRPr="00AC1D39" w:rsidRDefault="00AC1D39" w:rsidP="00FE731B">
            <w:pPr>
              <w:spacing w:line="360" w:lineRule="auto"/>
              <w:rPr>
                <w:rFonts w:ascii="Arial" w:hAnsi="Arial" w:cs="Arial"/>
                <w:sz w:val="22"/>
                <w:szCs w:val="22"/>
              </w:rPr>
            </w:pPr>
            <w:r>
              <w:rPr>
                <w:rFonts w:ascii="Arial" w:hAnsi="Arial" w:cs="Arial"/>
                <w:sz w:val="22"/>
                <w:szCs w:val="22"/>
              </w:rPr>
              <w:t>Electric Vechicle</w:t>
            </w:r>
          </w:p>
        </w:tc>
      </w:tr>
      <w:tr w:rsidR="00961E6E" w14:paraId="39EEF828" w14:textId="77777777" w:rsidTr="00712BA7">
        <w:tc>
          <w:tcPr>
            <w:tcW w:w="3539" w:type="dxa"/>
          </w:tcPr>
          <w:p w14:paraId="3E08FC5B" w14:textId="7E26D7FA" w:rsidR="00961E6E" w:rsidRPr="00AC1D39" w:rsidRDefault="00AC1D39" w:rsidP="00FE731B">
            <w:pPr>
              <w:spacing w:line="360" w:lineRule="auto"/>
              <w:rPr>
                <w:rFonts w:ascii="Arial" w:hAnsi="Arial" w:cs="Arial"/>
                <w:sz w:val="22"/>
                <w:szCs w:val="22"/>
              </w:rPr>
            </w:pPr>
            <w:r>
              <w:rPr>
                <w:rFonts w:ascii="Arial" w:hAnsi="Arial" w:cs="Arial"/>
                <w:sz w:val="22"/>
                <w:szCs w:val="22"/>
              </w:rPr>
              <w:t>DCF</w:t>
            </w:r>
          </w:p>
        </w:tc>
        <w:tc>
          <w:tcPr>
            <w:tcW w:w="3686" w:type="dxa"/>
          </w:tcPr>
          <w:p w14:paraId="79C5F257" w14:textId="0D08A72D" w:rsidR="00961E6E" w:rsidRPr="00AC1D39" w:rsidRDefault="00AC1D39" w:rsidP="00FE731B">
            <w:pPr>
              <w:spacing w:line="360" w:lineRule="auto"/>
              <w:rPr>
                <w:rFonts w:ascii="Arial" w:hAnsi="Arial" w:cs="Arial"/>
                <w:sz w:val="22"/>
                <w:szCs w:val="22"/>
              </w:rPr>
            </w:pPr>
            <w:r>
              <w:rPr>
                <w:rFonts w:ascii="Arial" w:hAnsi="Arial" w:cs="Arial"/>
                <w:sz w:val="22"/>
                <w:szCs w:val="22"/>
              </w:rPr>
              <w:t>Discounted Cash Flow</w:t>
            </w:r>
          </w:p>
        </w:tc>
      </w:tr>
      <w:tr w:rsidR="00961E6E" w14:paraId="7B7F4C4A" w14:textId="77777777" w:rsidTr="00712BA7">
        <w:tc>
          <w:tcPr>
            <w:tcW w:w="3539" w:type="dxa"/>
          </w:tcPr>
          <w:p w14:paraId="1FB2D673" w14:textId="7875AEA1" w:rsidR="00961E6E" w:rsidRPr="003E7F76" w:rsidRDefault="003E7F76" w:rsidP="00FE731B">
            <w:pPr>
              <w:spacing w:line="360" w:lineRule="auto"/>
              <w:rPr>
                <w:rFonts w:ascii="Arial" w:hAnsi="Arial" w:cs="Arial"/>
                <w:sz w:val="22"/>
                <w:szCs w:val="22"/>
              </w:rPr>
            </w:pPr>
            <w:r>
              <w:rPr>
                <w:rFonts w:ascii="Arial" w:hAnsi="Arial" w:cs="Arial"/>
                <w:sz w:val="22"/>
                <w:szCs w:val="22"/>
              </w:rPr>
              <w:t>FCFF</w:t>
            </w:r>
          </w:p>
        </w:tc>
        <w:tc>
          <w:tcPr>
            <w:tcW w:w="3686" w:type="dxa"/>
          </w:tcPr>
          <w:p w14:paraId="2AD9AAEF" w14:textId="2A642AD3" w:rsidR="00961E6E" w:rsidRPr="003E7F76" w:rsidRDefault="003E7F76" w:rsidP="00FE731B">
            <w:pPr>
              <w:spacing w:line="360" w:lineRule="auto"/>
              <w:rPr>
                <w:rFonts w:ascii="Arial" w:hAnsi="Arial" w:cs="Arial"/>
                <w:sz w:val="22"/>
                <w:szCs w:val="22"/>
              </w:rPr>
            </w:pPr>
            <w:r>
              <w:rPr>
                <w:rFonts w:ascii="Arial" w:hAnsi="Arial" w:cs="Arial"/>
                <w:sz w:val="22"/>
                <w:szCs w:val="22"/>
              </w:rPr>
              <w:t>Free Cash Flow To Firm</w:t>
            </w:r>
          </w:p>
        </w:tc>
      </w:tr>
      <w:tr w:rsidR="00961E6E" w14:paraId="43EB9311" w14:textId="77777777" w:rsidTr="00712BA7">
        <w:tc>
          <w:tcPr>
            <w:tcW w:w="3539" w:type="dxa"/>
          </w:tcPr>
          <w:p w14:paraId="5D9EBF4C" w14:textId="72FB00E6" w:rsidR="00961E6E" w:rsidRPr="007F14C2" w:rsidRDefault="007F14C2" w:rsidP="00FE731B">
            <w:pPr>
              <w:spacing w:line="360" w:lineRule="auto"/>
              <w:rPr>
                <w:rFonts w:ascii="Arial" w:hAnsi="Arial" w:cs="Arial"/>
                <w:sz w:val="22"/>
                <w:szCs w:val="22"/>
              </w:rPr>
            </w:pPr>
            <w:r>
              <w:rPr>
                <w:rFonts w:ascii="Arial" w:hAnsi="Arial" w:cs="Arial"/>
                <w:sz w:val="22"/>
                <w:szCs w:val="22"/>
              </w:rPr>
              <w:t>WACC</w:t>
            </w:r>
          </w:p>
        </w:tc>
        <w:tc>
          <w:tcPr>
            <w:tcW w:w="3686" w:type="dxa"/>
          </w:tcPr>
          <w:p w14:paraId="2E1DAFBC" w14:textId="26931DC3" w:rsidR="00961E6E" w:rsidRPr="007F14C2" w:rsidRDefault="007F14C2" w:rsidP="00FE731B">
            <w:pPr>
              <w:spacing w:line="360" w:lineRule="auto"/>
              <w:rPr>
                <w:rFonts w:ascii="Arial" w:hAnsi="Arial" w:cs="Arial"/>
                <w:sz w:val="22"/>
                <w:szCs w:val="22"/>
              </w:rPr>
            </w:pPr>
            <w:r>
              <w:rPr>
                <w:rFonts w:ascii="Arial" w:hAnsi="Arial" w:cs="Arial"/>
                <w:sz w:val="22"/>
                <w:szCs w:val="22"/>
              </w:rPr>
              <w:t>Weighted Average Cost Of Capital</w:t>
            </w:r>
          </w:p>
        </w:tc>
      </w:tr>
      <w:tr w:rsidR="00961E6E" w14:paraId="0A1E30DD" w14:textId="77777777" w:rsidTr="00712BA7">
        <w:tc>
          <w:tcPr>
            <w:tcW w:w="3539" w:type="dxa"/>
          </w:tcPr>
          <w:p w14:paraId="3F75CFDD" w14:textId="3BD62FA2" w:rsidR="00961E6E" w:rsidRPr="007F14C2" w:rsidRDefault="007F14C2" w:rsidP="00FE731B">
            <w:pPr>
              <w:spacing w:line="360" w:lineRule="auto"/>
              <w:rPr>
                <w:rFonts w:ascii="Arial" w:hAnsi="Arial" w:cs="Arial"/>
                <w:sz w:val="22"/>
                <w:szCs w:val="22"/>
              </w:rPr>
            </w:pPr>
            <w:r>
              <w:rPr>
                <w:rFonts w:ascii="Arial" w:hAnsi="Arial" w:cs="Arial"/>
                <w:sz w:val="22"/>
                <w:szCs w:val="22"/>
              </w:rPr>
              <w:t>WC</w:t>
            </w:r>
          </w:p>
        </w:tc>
        <w:tc>
          <w:tcPr>
            <w:tcW w:w="3686" w:type="dxa"/>
          </w:tcPr>
          <w:p w14:paraId="25B41F36" w14:textId="5D4E9064" w:rsidR="00961E6E" w:rsidRPr="000B18E6" w:rsidRDefault="000B18E6" w:rsidP="00FE731B">
            <w:pPr>
              <w:spacing w:line="360" w:lineRule="auto"/>
              <w:rPr>
                <w:rFonts w:ascii="Arial" w:hAnsi="Arial" w:cs="Arial"/>
                <w:sz w:val="22"/>
                <w:szCs w:val="22"/>
              </w:rPr>
            </w:pPr>
            <w:r>
              <w:rPr>
                <w:rFonts w:ascii="Arial" w:hAnsi="Arial" w:cs="Arial"/>
                <w:sz w:val="22"/>
                <w:szCs w:val="22"/>
              </w:rPr>
              <w:t>Working capital</w:t>
            </w:r>
          </w:p>
        </w:tc>
      </w:tr>
      <w:tr w:rsidR="00961E6E" w14:paraId="4F8FAE8B" w14:textId="77777777" w:rsidTr="00712BA7">
        <w:tc>
          <w:tcPr>
            <w:tcW w:w="3539" w:type="dxa"/>
          </w:tcPr>
          <w:p w14:paraId="02D366CD" w14:textId="5C1D25EE" w:rsidR="00961E6E" w:rsidRDefault="000B18E6" w:rsidP="00FE731B">
            <w:pPr>
              <w:spacing w:line="360" w:lineRule="auto"/>
              <w:rPr>
                <w:rFonts w:ascii="Arial" w:hAnsi="Arial" w:cs="Arial"/>
                <w:sz w:val="22"/>
                <w:szCs w:val="22"/>
              </w:rPr>
            </w:pPr>
            <w:r w:rsidRPr="000B18E6">
              <w:rPr>
                <w:rFonts w:ascii="Arial" w:hAnsi="Arial" w:cs="Arial"/>
                <w:sz w:val="22"/>
                <w:szCs w:val="22"/>
              </w:rPr>
              <w:t>P/E ratio</w:t>
            </w:r>
          </w:p>
        </w:tc>
        <w:tc>
          <w:tcPr>
            <w:tcW w:w="3686" w:type="dxa"/>
          </w:tcPr>
          <w:p w14:paraId="031B7622" w14:textId="4797E9D0" w:rsidR="00961E6E" w:rsidRDefault="002A11DB" w:rsidP="00FE731B">
            <w:pPr>
              <w:spacing w:line="360" w:lineRule="auto"/>
              <w:rPr>
                <w:rFonts w:ascii="Arial" w:hAnsi="Arial" w:cs="Arial"/>
                <w:sz w:val="22"/>
                <w:szCs w:val="22"/>
              </w:rPr>
            </w:pPr>
            <w:r>
              <w:rPr>
                <w:rFonts w:ascii="Arial" w:hAnsi="Arial" w:cs="Arial"/>
                <w:sz w:val="22"/>
                <w:szCs w:val="22"/>
              </w:rPr>
              <w:t>P</w:t>
            </w:r>
            <w:r w:rsidRPr="002A11DB">
              <w:rPr>
                <w:rFonts w:ascii="Arial" w:hAnsi="Arial" w:cs="Arial"/>
                <w:sz w:val="22"/>
                <w:szCs w:val="22"/>
              </w:rPr>
              <w:t>rice Earning Ratio</w:t>
            </w:r>
          </w:p>
        </w:tc>
      </w:tr>
      <w:tr w:rsidR="00961E6E" w14:paraId="4B78436A" w14:textId="77777777" w:rsidTr="00712BA7">
        <w:tc>
          <w:tcPr>
            <w:tcW w:w="3539" w:type="dxa"/>
          </w:tcPr>
          <w:p w14:paraId="342BB8C6" w14:textId="53650FC1" w:rsidR="00961E6E" w:rsidRDefault="002A11DB" w:rsidP="005F6421">
            <w:pPr>
              <w:spacing w:line="360" w:lineRule="auto"/>
              <w:rPr>
                <w:rFonts w:ascii="Arial" w:hAnsi="Arial" w:cs="Arial"/>
                <w:sz w:val="22"/>
                <w:szCs w:val="22"/>
              </w:rPr>
            </w:pPr>
            <w:r w:rsidRPr="002A11DB">
              <w:rPr>
                <w:rFonts w:ascii="Arial" w:hAnsi="Arial" w:cs="Arial"/>
                <w:sz w:val="22"/>
                <w:szCs w:val="22"/>
              </w:rPr>
              <w:t xml:space="preserve">EPS </w:t>
            </w:r>
          </w:p>
        </w:tc>
        <w:tc>
          <w:tcPr>
            <w:tcW w:w="3686" w:type="dxa"/>
          </w:tcPr>
          <w:p w14:paraId="0C5C4964" w14:textId="671A5366" w:rsidR="00961E6E" w:rsidRDefault="002A11DB" w:rsidP="005F6421">
            <w:pPr>
              <w:spacing w:line="360" w:lineRule="auto"/>
              <w:rPr>
                <w:rFonts w:ascii="Arial" w:hAnsi="Arial" w:cs="Arial"/>
                <w:sz w:val="22"/>
                <w:szCs w:val="22"/>
              </w:rPr>
            </w:pPr>
            <w:r w:rsidRPr="002A11DB">
              <w:rPr>
                <w:rFonts w:ascii="Arial" w:hAnsi="Arial" w:cs="Arial"/>
                <w:sz w:val="22"/>
                <w:szCs w:val="22"/>
              </w:rPr>
              <w:t>Earing Per share</w:t>
            </w:r>
          </w:p>
        </w:tc>
      </w:tr>
      <w:tr w:rsidR="00961E6E" w14:paraId="69B24B29" w14:textId="77777777" w:rsidTr="00712BA7">
        <w:tc>
          <w:tcPr>
            <w:tcW w:w="3539" w:type="dxa"/>
          </w:tcPr>
          <w:p w14:paraId="5FBF1B4A" w14:textId="65328EDB" w:rsidR="00961E6E" w:rsidRPr="00F87715" w:rsidRDefault="00F87715" w:rsidP="005F6421">
            <w:pPr>
              <w:spacing w:line="360" w:lineRule="auto"/>
              <w:rPr>
                <w:rFonts w:ascii="Arial" w:hAnsi="Arial" w:cs="Arial"/>
                <w:sz w:val="22"/>
                <w:szCs w:val="22"/>
              </w:rPr>
            </w:pPr>
            <w:r>
              <w:rPr>
                <w:rFonts w:ascii="Arial" w:hAnsi="Arial" w:cs="Arial"/>
                <w:sz w:val="22"/>
                <w:szCs w:val="22"/>
              </w:rPr>
              <w:t>EV</w:t>
            </w:r>
          </w:p>
        </w:tc>
        <w:tc>
          <w:tcPr>
            <w:tcW w:w="3686" w:type="dxa"/>
          </w:tcPr>
          <w:p w14:paraId="4186C14C" w14:textId="7E23D8EF" w:rsidR="00961E6E" w:rsidRDefault="00F87715" w:rsidP="005F6421">
            <w:pPr>
              <w:spacing w:line="360" w:lineRule="auto"/>
              <w:rPr>
                <w:rFonts w:ascii="Arial" w:hAnsi="Arial" w:cs="Arial"/>
                <w:sz w:val="22"/>
                <w:szCs w:val="22"/>
              </w:rPr>
            </w:pPr>
            <w:r>
              <w:rPr>
                <w:rFonts w:ascii="Arial" w:hAnsi="Arial" w:cs="Arial"/>
                <w:sz w:val="22"/>
                <w:szCs w:val="22"/>
              </w:rPr>
              <w:t>E</w:t>
            </w:r>
            <w:r w:rsidRPr="00F87715">
              <w:rPr>
                <w:rFonts w:ascii="Arial" w:hAnsi="Arial" w:cs="Arial"/>
                <w:sz w:val="22"/>
                <w:szCs w:val="22"/>
              </w:rPr>
              <w:t>nterprise/Equity Value</w:t>
            </w:r>
          </w:p>
        </w:tc>
      </w:tr>
      <w:tr w:rsidR="00961E6E" w14:paraId="0D4BEE8F" w14:textId="77777777" w:rsidTr="00712BA7">
        <w:tc>
          <w:tcPr>
            <w:tcW w:w="3539" w:type="dxa"/>
          </w:tcPr>
          <w:p w14:paraId="77FA59D4" w14:textId="17A8AEFE" w:rsidR="00961E6E" w:rsidRPr="00A3055F" w:rsidRDefault="00A3055F" w:rsidP="005F6421">
            <w:pPr>
              <w:spacing w:line="360" w:lineRule="auto"/>
              <w:rPr>
                <w:rFonts w:ascii="Arial" w:hAnsi="Arial" w:cs="Arial"/>
                <w:sz w:val="22"/>
                <w:szCs w:val="22"/>
              </w:rPr>
            </w:pPr>
            <w:r>
              <w:rPr>
                <w:rFonts w:ascii="Arial" w:hAnsi="Arial" w:cs="Arial"/>
                <w:sz w:val="22"/>
                <w:szCs w:val="22"/>
              </w:rPr>
              <w:t>NOPAT</w:t>
            </w:r>
          </w:p>
        </w:tc>
        <w:tc>
          <w:tcPr>
            <w:tcW w:w="3686" w:type="dxa"/>
          </w:tcPr>
          <w:p w14:paraId="5A551678" w14:textId="3CB694D3" w:rsidR="00961E6E" w:rsidRDefault="00A3055F" w:rsidP="005F6421">
            <w:pPr>
              <w:spacing w:line="360" w:lineRule="auto"/>
              <w:rPr>
                <w:rFonts w:ascii="Arial" w:hAnsi="Arial" w:cs="Arial"/>
                <w:sz w:val="22"/>
                <w:szCs w:val="22"/>
              </w:rPr>
            </w:pPr>
            <w:r>
              <w:rPr>
                <w:rFonts w:ascii="Arial" w:hAnsi="Arial" w:cs="Arial"/>
                <w:sz w:val="22"/>
                <w:szCs w:val="22"/>
              </w:rPr>
              <w:t>N</w:t>
            </w:r>
            <w:r w:rsidRPr="00A3055F">
              <w:rPr>
                <w:rFonts w:ascii="Arial" w:hAnsi="Arial" w:cs="Arial"/>
                <w:sz w:val="22"/>
                <w:szCs w:val="22"/>
              </w:rPr>
              <w:t>et Operating Profit After Tax</w:t>
            </w:r>
          </w:p>
        </w:tc>
      </w:tr>
      <w:tr w:rsidR="00961E6E" w14:paraId="783D7E2B" w14:textId="77777777" w:rsidTr="00712BA7">
        <w:tc>
          <w:tcPr>
            <w:tcW w:w="3539" w:type="dxa"/>
          </w:tcPr>
          <w:p w14:paraId="350BAC2E" w14:textId="2AF705DA" w:rsidR="00961E6E" w:rsidRPr="002E5719" w:rsidRDefault="002E5719" w:rsidP="005F6421">
            <w:pPr>
              <w:spacing w:line="360" w:lineRule="auto"/>
              <w:rPr>
                <w:rFonts w:ascii="Arial" w:hAnsi="Arial" w:cs="Arial"/>
                <w:sz w:val="22"/>
                <w:szCs w:val="22"/>
              </w:rPr>
            </w:pPr>
            <w:r>
              <w:rPr>
                <w:rFonts w:ascii="Arial" w:hAnsi="Arial" w:cs="Arial"/>
                <w:sz w:val="22"/>
                <w:szCs w:val="22"/>
              </w:rPr>
              <w:t>CAPEX</w:t>
            </w:r>
          </w:p>
        </w:tc>
        <w:tc>
          <w:tcPr>
            <w:tcW w:w="3686" w:type="dxa"/>
          </w:tcPr>
          <w:p w14:paraId="1BD93E73" w14:textId="76CFAB9D" w:rsidR="00961E6E" w:rsidRPr="002E5719" w:rsidRDefault="002E5719" w:rsidP="005F6421">
            <w:pPr>
              <w:spacing w:line="360" w:lineRule="auto"/>
              <w:rPr>
                <w:rFonts w:ascii="Arial" w:hAnsi="Arial" w:cs="Arial"/>
                <w:sz w:val="22"/>
                <w:szCs w:val="22"/>
              </w:rPr>
            </w:pPr>
            <w:r>
              <w:rPr>
                <w:rFonts w:ascii="Arial" w:hAnsi="Arial" w:cs="Arial"/>
                <w:sz w:val="22"/>
                <w:szCs w:val="22"/>
              </w:rPr>
              <w:t>Capital Expenditure</w:t>
            </w:r>
          </w:p>
        </w:tc>
      </w:tr>
      <w:tr w:rsidR="00961E6E" w14:paraId="6C0A75DE" w14:textId="77777777" w:rsidTr="00712BA7">
        <w:tc>
          <w:tcPr>
            <w:tcW w:w="3539" w:type="dxa"/>
          </w:tcPr>
          <w:p w14:paraId="6A1E20E5" w14:textId="0F6A066E" w:rsidR="00961E6E" w:rsidRPr="002E5719" w:rsidRDefault="002E5719" w:rsidP="005F6421">
            <w:pPr>
              <w:spacing w:line="360" w:lineRule="auto"/>
              <w:rPr>
                <w:rFonts w:ascii="Arial" w:hAnsi="Arial" w:cs="Arial"/>
                <w:sz w:val="22"/>
                <w:szCs w:val="22"/>
              </w:rPr>
            </w:pPr>
            <w:r>
              <w:rPr>
                <w:rFonts w:ascii="Arial" w:hAnsi="Arial" w:cs="Arial"/>
                <w:sz w:val="22"/>
                <w:szCs w:val="22"/>
              </w:rPr>
              <w:t>LT</w:t>
            </w:r>
          </w:p>
        </w:tc>
        <w:tc>
          <w:tcPr>
            <w:tcW w:w="3686" w:type="dxa"/>
          </w:tcPr>
          <w:p w14:paraId="20E0D2FA" w14:textId="23507044" w:rsidR="00961E6E" w:rsidRPr="009E1C03" w:rsidRDefault="009E1C03" w:rsidP="005F6421">
            <w:pPr>
              <w:spacing w:line="360" w:lineRule="auto"/>
              <w:rPr>
                <w:rFonts w:ascii="Arial" w:hAnsi="Arial" w:cs="Arial"/>
                <w:sz w:val="22"/>
                <w:szCs w:val="22"/>
              </w:rPr>
            </w:pPr>
            <w:r>
              <w:rPr>
                <w:rFonts w:ascii="Arial" w:hAnsi="Arial" w:cs="Arial"/>
                <w:sz w:val="22"/>
                <w:szCs w:val="22"/>
              </w:rPr>
              <w:t>Long Term Debt</w:t>
            </w:r>
          </w:p>
        </w:tc>
      </w:tr>
      <w:tr w:rsidR="00961E6E" w14:paraId="5226BE47" w14:textId="77777777" w:rsidTr="00712BA7">
        <w:tc>
          <w:tcPr>
            <w:tcW w:w="3539" w:type="dxa"/>
          </w:tcPr>
          <w:p w14:paraId="529FE962" w14:textId="3B248F8B" w:rsidR="00961E6E" w:rsidRPr="009E1C03" w:rsidRDefault="009E1C03" w:rsidP="005F6421">
            <w:pPr>
              <w:spacing w:line="360" w:lineRule="auto"/>
              <w:rPr>
                <w:rFonts w:ascii="Arial" w:hAnsi="Arial" w:cs="Arial"/>
                <w:sz w:val="22"/>
                <w:szCs w:val="22"/>
              </w:rPr>
            </w:pPr>
            <w:r>
              <w:rPr>
                <w:rFonts w:ascii="Arial" w:hAnsi="Arial" w:cs="Arial"/>
                <w:sz w:val="22"/>
                <w:szCs w:val="22"/>
              </w:rPr>
              <w:t>EBIT</w:t>
            </w:r>
          </w:p>
        </w:tc>
        <w:tc>
          <w:tcPr>
            <w:tcW w:w="3686" w:type="dxa"/>
          </w:tcPr>
          <w:p w14:paraId="5BC93C9A" w14:textId="4017DDCF" w:rsidR="00961E6E" w:rsidRPr="009E1C03" w:rsidRDefault="009E1C03" w:rsidP="005F6421">
            <w:pPr>
              <w:spacing w:line="360" w:lineRule="auto"/>
              <w:rPr>
                <w:rFonts w:ascii="Arial" w:hAnsi="Arial" w:cs="Arial"/>
                <w:sz w:val="22"/>
                <w:szCs w:val="22"/>
              </w:rPr>
            </w:pPr>
            <w:r>
              <w:rPr>
                <w:rFonts w:ascii="Arial" w:hAnsi="Arial" w:cs="Arial"/>
                <w:sz w:val="22"/>
                <w:szCs w:val="22"/>
              </w:rPr>
              <w:t>Ea</w:t>
            </w:r>
            <w:r w:rsidR="00E87362">
              <w:rPr>
                <w:rFonts w:ascii="Arial" w:hAnsi="Arial" w:cs="Arial"/>
                <w:sz w:val="22"/>
                <w:szCs w:val="22"/>
              </w:rPr>
              <w:t>rings Before Interest and Tax</w:t>
            </w:r>
          </w:p>
        </w:tc>
      </w:tr>
    </w:tbl>
    <w:p w14:paraId="51F7119C" w14:textId="77777777" w:rsidR="00FE731B" w:rsidRDefault="00FE731B" w:rsidP="00FE731B">
      <w:pPr>
        <w:spacing w:line="360" w:lineRule="auto"/>
        <w:rPr>
          <w:rFonts w:ascii="Arial" w:hAnsi="Arial" w:cs="Arial"/>
          <w:sz w:val="22"/>
          <w:szCs w:val="22"/>
        </w:rPr>
      </w:pPr>
    </w:p>
    <w:p w14:paraId="03285085" w14:textId="77777777" w:rsidR="00C55C4C" w:rsidRDefault="00C55C4C" w:rsidP="00FE731B">
      <w:pPr>
        <w:spacing w:line="360" w:lineRule="auto"/>
        <w:rPr>
          <w:rFonts w:ascii="Arial" w:hAnsi="Arial" w:cs="Arial"/>
          <w:sz w:val="22"/>
          <w:szCs w:val="22"/>
        </w:rPr>
      </w:pPr>
    </w:p>
    <w:p w14:paraId="3B82EBD8" w14:textId="77777777" w:rsidR="00C55C4C" w:rsidRDefault="00C55C4C" w:rsidP="00FE731B">
      <w:pPr>
        <w:spacing w:line="360" w:lineRule="auto"/>
        <w:rPr>
          <w:rFonts w:ascii="Arial" w:hAnsi="Arial" w:cs="Arial"/>
          <w:sz w:val="22"/>
          <w:szCs w:val="22"/>
        </w:rPr>
      </w:pPr>
    </w:p>
    <w:p w14:paraId="65CC52A1" w14:textId="77777777" w:rsidR="00C55C4C" w:rsidRDefault="00C55C4C" w:rsidP="00FE731B">
      <w:pPr>
        <w:spacing w:line="360" w:lineRule="auto"/>
        <w:rPr>
          <w:rFonts w:ascii="Arial" w:hAnsi="Arial" w:cs="Arial"/>
          <w:sz w:val="22"/>
          <w:szCs w:val="22"/>
        </w:rPr>
      </w:pPr>
    </w:p>
    <w:p w14:paraId="6C6BF037" w14:textId="77777777" w:rsidR="00C55C4C" w:rsidRDefault="00C55C4C" w:rsidP="00FE731B">
      <w:pPr>
        <w:spacing w:line="360" w:lineRule="auto"/>
        <w:rPr>
          <w:rFonts w:ascii="Arial" w:hAnsi="Arial" w:cs="Arial"/>
          <w:sz w:val="22"/>
          <w:szCs w:val="22"/>
        </w:rPr>
      </w:pPr>
    </w:p>
    <w:p w14:paraId="76DB3641" w14:textId="77777777" w:rsidR="00C55C4C" w:rsidRDefault="00C55C4C" w:rsidP="00FE731B">
      <w:pPr>
        <w:spacing w:line="360" w:lineRule="auto"/>
        <w:rPr>
          <w:rFonts w:ascii="Arial" w:hAnsi="Arial" w:cs="Arial"/>
          <w:sz w:val="22"/>
          <w:szCs w:val="22"/>
        </w:rPr>
      </w:pPr>
    </w:p>
    <w:p w14:paraId="4330ACDA" w14:textId="77777777" w:rsidR="00C55C4C" w:rsidRDefault="00C55C4C" w:rsidP="00FE731B">
      <w:pPr>
        <w:spacing w:line="360" w:lineRule="auto"/>
        <w:rPr>
          <w:rFonts w:ascii="Arial" w:hAnsi="Arial" w:cs="Arial"/>
          <w:sz w:val="22"/>
          <w:szCs w:val="22"/>
        </w:rPr>
      </w:pPr>
    </w:p>
    <w:p w14:paraId="55E5938C" w14:textId="77777777" w:rsidR="006D677E" w:rsidRDefault="006D677E" w:rsidP="00FE731B">
      <w:pPr>
        <w:spacing w:line="360" w:lineRule="auto"/>
        <w:rPr>
          <w:rFonts w:ascii="Arial" w:hAnsi="Arial" w:cs="Arial"/>
          <w:sz w:val="22"/>
          <w:szCs w:val="22"/>
        </w:rPr>
      </w:pPr>
    </w:p>
    <w:p w14:paraId="19C1FBE8" w14:textId="77777777" w:rsidR="006D677E" w:rsidRDefault="006D677E" w:rsidP="00FE731B">
      <w:pPr>
        <w:spacing w:line="360" w:lineRule="auto"/>
        <w:rPr>
          <w:rFonts w:ascii="Arial" w:hAnsi="Arial" w:cs="Arial"/>
          <w:sz w:val="22"/>
          <w:szCs w:val="22"/>
        </w:rPr>
      </w:pPr>
    </w:p>
    <w:p w14:paraId="3CF6E368" w14:textId="77777777" w:rsidR="006D677E" w:rsidRDefault="006D677E" w:rsidP="00FE731B">
      <w:pPr>
        <w:spacing w:line="360" w:lineRule="auto"/>
        <w:rPr>
          <w:rFonts w:ascii="Arial" w:hAnsi="Arial" w:cs="Arial"/>
          <w:sz w:val="22"/>
          <w:szCs w:val="22"/>
        </w:rPr>
      </w:pPr>
    </w:p>
    <w:p w14:paraId="2BE6C482" w14:textId="77777777" w:rsidR="006D677E" w:rsidRDefault="006D677E" w:rsidP="00FE731B">
      <w:pPr>
        <w:spacing w:line="360" w:lineRule="auto"/>
        <w:rPr>
          <w:rFonts w:ascii="Arial" w:hAnsi="Arial" w:cs="Arial"/>
          <w:sz w:val="22"/>
          <w:szCs w:val="22"/>
        </w:rPr>
      </w:pPr>
    </w:p>
    <w:p w14:paraId="1C8455AF" w14:textId="77777777" w:rsidR="00FE731B" w:rsidRDefault="00FE731B" w:rsidP="00FE731B">
      <w:pPr>
        <w:spacing w:line="360" w:lineRule="auto"/>
        <w:rPr>
          <w:rFonts w:ascii="Arial" w:hAnsi="Arial" w:cs="Arial"/>
          <w:sz w:val="22"/>
          <w:szCs w:val="22"/>
        </w:rPr>
      </w:pPr>
    </w:p>
    <w:p w14:paraId="76DB022F" w14:textId="4505E547" w:rsidR="00FE731B" w:rsidRPr="008B544C" w:rsidRDefault="008C5507" w:rsidP="00FE731B">
      <w:pPr>
        <w:spacing w:line="360" w:lineRule="auto"/>
        <w:rPr>
          <w:rFonts w:ascii="Arial" w:hAnsi="Arial" w:cs="Arial"/>
          <w:sz w:val="22"/>
          <w:szCs w:val="22"/>
        </w:rPr>
      </w:pPr>
      <w:r w:rsidRPr="008B544C">
        <w:rPr>
          <w:rFonts w:ascii="Arial" w:hAnsi="Arial" w:cs="Arial"/>
          <w:sz w:val="22"/>
          <w:szCs w:val="22"/>
        </w:rPr>
        <w:lastRenderedPageBreak/>
        <w:t xml:space="preserve">1 </w:t>
      </w:r>
      <w:r w:rsidR="005828A9" w:rsidRPr="008B544C">
        <w:rPr>
          <w:rFonts w:ascii="Arial" w:hAnsi="Arial" w:cs="Arial"/>
          <w:sz w:val="22"/>
          <w:szCs w:val="22"/>
        </w:rPr>
        <w:t>Execu</w:t>
      </w:r>
      <w:r w:rsidR="00B66101" w:rsidRPr="008B544C">
        <w:rPr>
          <w:rFonts w:ascii="Arial" w:hAnsi="Arial" w:cs="Arial"/>
          <w:sz w:val="22"/>
          <w:szCs w:val="22"/>
        </w:rPr>
        <w:t>tive Summary</w:t>
      </w:r>
    </w:p>
    <w:p w14:paraId="3CD32A56" w14:textId="331990F6" w:rsidR="007E0C51" w:rsidRPr="008B544C" w:rsidRDefault="007E0C51" w:rsidP="00FE731B">
      <w:pPr>
        <w:spacing w:line="360" w:lineRule="auto"/>
        <w:rPr>
          <w:rFonts w:ascii="Arial" w:hAnsi="Arial" w:cs="Arial"/>
          <w:sz w:val="22"/>
          <w:szCs w:val="22"/>
        </w:rPr>
      </w:pPr>
      <w:r w:rsidRPr="008B544C">
        <w:rPr>
          <w:rFonts w:ascii="Arial" w:hAnsi="Arial" w:cs="Arial"/>
          <w:sz w:val="22"/>
          <w:szCs w:val="22"/>
        </w:rPr>
        <w:t>In May 2023, BP Plc acquired TravelCenters of America (TA) for $1.3 billion. TA operates around 290 travel centers across the U.S., and this acquisition aims to strengthen BP's U.S. market presence and meet rising energy and mobility demands. BP plans to leverage TA's infrastructure to expand low-carbon solutions like EV charging, biofuels, and renewable natural gas, with future hydrogen technology integration. This move is expected to enhance BP's network resilience and boost its position in the growing non-fuel services sector, significantly increasing its gross margin in convenience (BP Plc, 2023; Evans, 2023).</w:t>
      </w:r>
    </w:p>
    <w:p w14:paraId="0C0BFB1D" w14:textId="77777777" w:rsidR="007E0C51" w:rsidRPr="008B544C" w:rsidRDefault="007E0C51" w:rsidP="00FE731B">
      <w:pPr>
        <w:spacing w:line="360" w:lineRule="auto"/>
        <w:rPr>
          <w:rFonts w:ascii="Arial" w:hAnsi="Arial" w:cs="Arial"/>
          <w:sz w:val="22"/>
          <w:szCs w:val="22"/>
        </w:rPr>
      </w:pPr>
      <w:r w:rsidRPr="008B544C">
        <w:rPr>
          <w:rFonts w:ascii="Arial" w:hAnsi="Arial" w:cs="Arial"/>
          <w:sz w:val="22"/>
          <w:szCs w:val="22"/>
        </w:rPr>
        <w:t>The study uses a project appraisal report format to analyze BP's acquisition, including a strategic market analysis and a preliminary financial analysis via discounted cash flow (DCF) (Smith, 2023). It examines metrics like revenue growth, profit margins, and cost of capital, along with TravelCenters' recent financial performance to assess its equity value and support BP's bid price (Johnson, 2023).</w:t>
      </w:r>
    </w:p>
    <w:p w14:paraId="5AB36C7A" w14:textId="77777777" w:rsidR="003E4690" w:rsidRPr="008B544C" w:rsidRDefault="003E4690" w:rsidP="00FE731B">
      <w:pPr>
        <w:spacing w:line="360" w:lineRule="auto"/>
        <w:rPr>
          <w:rFonts w:ascii="Arial" w:hAnsi="Arial" w:cs="Arial"/>
          <w:sz w:val="22"/>
          <w:szCs w:val="22"/>
        </w:rPr>
      </w:pPr>
    </w:p>
    <w:p w14:paraId="4B5C4710" w14:textId="62CE1927" w:rsidR="003E4690" w:rsidRPr="008B544C" w:rsidRDefault="008C5507" w:rsidP="00FE731B">
      <w:pPr>
        <w:spacing w:line="360" w:lineRule="auto"/>
        <w:rPr>
          <w:rFonts w:ascii="Arial" w:hAnsi="Arial" w:cs="Arial"/>
          <w:b/>
          <w:bCs/>
          <w:sz w:val="22"/>
          <w:szCs w:val="22"/>
        </w:rPr>
      </w:pPr>
      <w:r w:rsidRPr="008B544C">
        <w:rPr>
          <w:rFonts w:ascii="Arial" w:hAnsi="Arial" w:cs="Arial"/>
          <w:b/>
          <w:bCs/>
          <w:sz w:val="22"/>
          <w:szCs w:val="22"/>
        </w:rPr>
        <w:t>1</w:t>
      </w:r>
      <w:r w:rsidR="00EA3922" w:rsidRPr="008B544C">
        <w:rPr>
          <w:rFonts w:ascii="Arial" w:hAnsi="Arial" w:cs="Arial"/>
          <w:b/>
          <w:bCs/>
          <w:sz w:val="22"/>
          <w:szCs w:val="22"/>
        </w:rPr>
        <w:t>.</w:t>
      </w:r>
      <w:r w:rsidRPr="008B544C">
        <w:rPr>
          <w:rFonts w:ascii="Arial" w:hAnsi="Arial" w:cs="Arial"/>
          <w:b/>
          <w:bCs/>
          <w:sz w:val="22"/>
          <w:szCs w:val="22"/>
        </w:rPr>
        <w:t>2</w:t>
      </w:r>
      <w:r w:rsidR="00EA3922" w:rsidRPr="008B544C">
        <w:rPr>
          <w:rFonts w:ascii="Arial" w:hAnsi="Arial" w:cs="Arial"/>
          <w:b/>
          <w:bCs/>
          <w:sz w:val="22"/>
          <w:szCs w:val="22"/>
        </w:rPr>
        <w:t xml:space="preserve"> </w:t>
      </w:r>
      <w:r w:rsidR="003E4690" w:rsidRPr="008B544C">
        <w:rPr>
          <w:rFonts w:ascii="Arial" w:hAnsi="Arial" w:cs="Arial"/>
          <w:b/>
          <w:bCs/>
          <w:sz w:val="22"/>
          <w:szCs w:val="22"/>
        </w:rPr>
        <w:t>Strategic Analysis of BP Plc’s Acquisition of TravelCenters of America (TA)</w:t>
      </w:r>
    </w:p>
    <w:p w14:paraId="67418A9D" w14:textId="77777777" w:rsidR="00D06281" w:rsidRPr="008B544C" w:rsidRDefault="00D06281" w:rsidP="00FE731B">
      <w:pPr>
        <w:spacing w:line="360" w:lineRule="auto"/>
        <w:rPr>
          <w:rFonts w:ascii="Arial" w:hAnsi="Arial" w:cs="Arial"/>
          <w:sz w:val="22"/>
          <w:szCs w:val="22"/>
        </w:rPr>
      </w:pPr>
      <w:r w:rsidRPr="008B544C">
        <w:rPr>
          <w:rFonts w:ascii="Arial" w:hAnsi="Arial" w:cs="Arial"/>
          <w:sz w:val="22"/>
          <w:szCs w:val="22"/>
        </w:rPr>
        <w:t>BP's acquisition of TravelCenters of America (TA) aligns with the global shift towards sustainable energy (Brown and Wilson, 2023). By integrating TA's extensive service center network, BP aims to strengthen its low-carbon energy offerings, particularly in electric vehicle (EV) charging, renewable natural gas, and biofuels (Davis, 2023). The U.S. market presents significant growth potential due to the transition from fossil fuels to electric vehicles and the rising demand for robust infrastructure (Taylor, 2023). TA’s strategically located service centers give BP a competitive edge over major players like Shell and Chevron, both domestically and internationally (Johnson, 2023). Additionally, the acquisition bolsters BP's non-fuel services portfolio, critical for increasing gross margins in its convenience segment (Smith, 2023).</w:t>
      </w:r>
    </w:p>
    <w:p w14:paraId="586F9E5F" w14:textId="77777777" w:rsidR="00D06281" w:rsidRPr="008B544C" w:rsidRDefault="00D06281" w:rsidP="00FE731B">
      <w:pPr>
        <w:spacing w:line="360" w:lineRule="auto"/>
        <w:rPr>
          <w:rFonts w:ascii="Arial" w:hAnsi="Arial" w:cs="Arial"/>
          <w:sz w:val="22"/>
          <w:szCs w:val="22"/>
        </w:rPr>
      </w:pPr>
      <w:r w:rsidRPr="008B544C">
        <w:rPr>
          <w:rFonts w:ascii="Arial" w:hAnsi="Arial" w:cs="Arial"/>
          <w:sz w:val="22"/>
          <w:szCs w:val="22"/>
        </w:rPr>
        <w:t>BP's acquisition of TA is aimed at capitalizing on growth in the mobility and renewable energy sectors (Davis, 2023). With over 276 service centers, TA enhances BP's competitive positioning and supports its initiatives in EV charging and renewable energy distribution (Taylor, 2023).</w:t>
      </w:r>
    </w:p>
    <w:p w14:paraId="5D0A17D7" w14:textId="77777777" w:rsidR="00D06281" w:rsidRPr="008B544C" w:rsidRDefault="00D06281" w:rsidP="00FE731B">
      <w:pPr>
        <w:spacing w:line="360" w:lineRule="auto"/>
        <w:rPr>
          <w:rFonts w:ascii="Arial" w:hAnsi="Arial" w:cs="Arial"/>
          <w:b/>
          <w:bCs/>
          <w:color w:val="A66500"/>
          <w:sz w:val="22"/>
          <w:szCs w:val="22"/>
        </w:rPr>
      </w:pPr>
    </w:p>
    <w:p w14:paraId="1CD782F4" w14:textId="608E6B7C" w:rsidR="003E4690" w:rsidRPr="008B544C" w:rsidRDefault="008C5507" w:rsidP="00FE731B">
      <w:pPr>
        <w:spacing w:line="360" w:lineRule="auto"/>
        <w:rPr>
          <w:rFonts w:ascii="Arial" w:hAnsi="Arial" w:cs="Arial"/>
          <w:b/>
          <w:bCs/>
          <w:sz w:val="22"/>
          <w:szCs w:val="22"/>
        </w:rPr>
      </w:pPr>
      <w:r w:rsidRPr="008B544C">
        <w:rPr>
          <w:rFonts w:ascii="Arial" w:hAnsi="Arial" w:cs="Arial"/>
          <w:b/>
          <w:bCs/>
          <w:sz w:val="22"/>
          <w:szCs w:val="22"/>
        </w:rPr>
        <w:t>1</w:t>
      </w:r>
      <w:r w:rsidR="00900890" w:rsidRPr="008B544C">
        <w:rPr>
          <w:rFonts w:ascii="Arial" w:hAnsi="Arial" w:cs="Arial"/>
          <w:b/>
          <w:bCs/>
          <w:sz w:val="22"/>
          <w:szCs w:val="22"/>
        </w:rPr>
        <w:t>.</w:t>
      </w:r>
      <w:r w:rsidRPr="008B544C">
        <w:rPr>
          <w:rFonts w:ascii="Arial" w:hAnsi="Arial" w:cs="Arial"/>
          <w:b/>
          <w:bCs/>
          <w:sz w:val="22"/>
          <w:szCs w:val="22"/>
        </w:rPr>
        <w:t>3</w:t>
      </w:r>
      <w:r w:rsidR="00900890" w:rsidRPr="008B544C">
        <w:rPr>
          <w:rFonts w:ascii="Arial" w:hAnsi="Arial" w:cs="Arial"/>
          <w:b/>
          <w:bCs/>
          <w:sz w:val="22"/>
          <w:szCs w:val="22"/>
        </w:rPr>
        <w:t xml:space="preserve"> </w:t>
      </w:r>
      <w:r w:rsidR="003E4690" w:rsidRPr="008B544C">
        <w:rPr>
          <w:rFonts w:ascii="Arial" w:hAnsi="Arial" w:cs="Arial"/>
          <w:b/>
          <w:bCs/>
          <w:sz w:val="22"/>
          <w:szCs w:val="22"/>
        </w:rPr>
        <w:t>Major Reasons for BP's Acquisition of TA</w:t>
      </w:r>
    </w:p>
    <w:p w14:paraId="12C78084" w14:textId="77777777" w:rsidR="003E4690" w:rsidRPr="008B544C" w:rsidRDefault="003E4690" w:rsidP="00FE731B">
      <w:pPr>
        <w:numPr>
          <w:ilvl w:val="0"/>
          <w:numId w:val="19"/>
        </w:numPr>
        <w:spacing w:line="360" w:lineRule="auto"/>
        <w:rPr>
          <w:rFonts w:ascii="Arial" w:hAnsi="Arial" w:cs="Arial"/>
          <w:sz w:val="22"/>
          <w:szCs w:val="22"/>
        </w:rPr>
      </w:pPr>
      <w:r w:rsidRPr="008B544C">
        <w:rPr>
          <w:rFonts w:ascii="Arial" w:hAnsi="Arial" w:cs="Arial"/>
          <w:b/>
          <w:bCs/>
          <w:sz w:val="22"/>
          <w:szCs w:val="22"/>
        </w:rPr>
        <w:t>Convenience and Mobility Expansion</w:t>
      </w:r>
      <w:r w:rsidRPr="008B544C">
        <w:rPr>
          <w:rFonts w:ascii="Arial" w:hAnsi="Arial" w:cs="Arial"/>
          <w:sz w:val="22"/>
          <w:szCs w:val="22"/>
        </w:rPr>
        <w:t xml:space="preserve">: The acquisition allows BP to enhance its convenience and mobility services by integrating TA's highway facilities with its </w:t>
      </w:r>
      <w:r w:rsidRPr="008B544C">
        <w:rPr>
          <w:rFonts w:ascii="Arial" w:hAnsi="Arial" w:cs="Arial"/>
          <w:sz w:val="22"/>
          <w:szCs w:val="22"/>
        </w:rPr>
        <w:lastRenderedPageBreak/>
        <w:t>existing network, thereby supporting the growing market for electric vehicles (Howard, 2023).</w:t>
      </w:r>
    </w:p>
    <w:p w14:paraId="0A9A126F" w14:textId="2768DFE5" w:rsidR="003E4690" w:rsidRPr="008B544C" w:rsidRDefault="003E4690" w:rsidP="00FE731B">
      <w:pPr>
        <w:numPr>
          <w:ilvl w:val="0"/>
          <w:numId w:val="19"/>
        </w:numPr>
        <w:spacing w:line="360" w:lineRule="auto"/>
        <w:rPr>
          <w:rFonts w:ascii="Arial" w:hAnsi="Arial" w:cs="Arial"/>
          <w:sz w:val="22"/>
          <w:szCs w:val="22"/>
        </w:rPr>
      </w:pPr>
      <w:r w:rsidRPr="008B544C">
        <w:rPr>
          <w:rFonts w:ascii="Arial" w:hAnsi="Arial" w:cs="Arial"/>
          <w:b/>
          <w:bCs/>
          <w:sz w:val="22"/>
          <w:szCs w:val="22"/>
        </w:rPr>
        <w:t>Utilization of TA's Service Centers for Renewable Energy</w:t>
      </w:r>
      <w:r w:rsidRPr="008B544C">
        <w:rPr>
          <w:rFonts w:ascii="Arial" w:hAnsi="Arial" w:cs="Arial"/>
          <w:sz w:val="22"/>
          <w:szCs w:val="22"/>
        </w:rPr>
        <w:t>: TA's extensive network of service centers enables BP to distribute renewable energy products, such as EV charging stations and biofuels, thereby strengthening its position in the energy transition (</w:t>
      </w:r>
      <w:r w:rsidR="006855AE" w:rsidRPr="008B544C">
        <w:rPr>
          <w:rFonts w:ascii="Arial" w:hAnsi="Arial" w:cs="Arial"/>
          <w:sz w:val="22"/>
          <w:szCs w:val="22"/>
        </w:rPr>
        <w:t>Smith and Jones, 2023</w:t>
      </w:r>
      <w:r w:rsidRPr="008B544C">
        <w:rPr>
          <w:rFonts w:ascii="Arial" w:hAnsi="Arial" w:cs="Arial"/>
          <w:sz w:val="22"/>
          <w:szCs w:val="22"/>
        </w:rPr>
        <w:t>).</w:t>
      </w:r>
    </w:p>
    <w:p w14:paraId="53C1F4EE" w14:textId="0002BE28" w:rsidR="003E4690" w:rsidRPr="008B544C" w:rsidRDefault="003E4690" w:rsidP="00FE731B">
      <w:pPr>
        <w:numPr>
          <w:ilvl w:val="0"/>
          <w:numId w:val="19"/>
        </w:numPr>
        <w:spacing w:line="360" w:lineRule="auto"/>
        <w:rPr>
          <w:rFonts w:ascii="Arial" w:hAnsi="Arial" w:cs="Arial"/>
          <w:sz w:val="22"/>
          <w:szCs w:val="22"/>
        </w:rPr>
      </w:pPr>
      <w:r w:rsidRPr="008B544C">
        <w:rPr>
          <w:rFonts w:ascii="Arial" w:hAnsi="Arial" w:cs="Arial"/>
          <w:b/>
          <w:bCs/>
          <w:sz w:val="22"/>
          <w:szCs w:val="22"/>
        </w:rPr>
        <w:t>Growth in Transition Engines</w:t>
      </w:r>
      <w:r w:rsidRPr="008B544C">
        <w:rPr>
          <w:rFonts w:ascii="Arial" w:hAnsi="Arial" w:cs="Arial"/>
          <w:sz w:val="22"/>
          <w:szCs w:val="22"/>
        </w:rPr>
        <w:t>: The acquisition supports BP's focus on developing transition growth engines, including electric vehicle charging and hydrogen solutions, which contribute to sustainability goals and the reduction of carbon emissions (</w:t>
      </w:r>
      <w:r w:rsidR="00486E38" w:rsidRPr="008B544C">
        <w:rPr>
          <w:rFonts w:ascii="Arial" w:hAnsi="Arial" w:cs="Arial"/>
          <w:sz w:val="22"/>
          <w:szCs w:val="22"/>
        </w:rPr>
        <w:t>Johnson and Taylor, 2023</w:t>
      </w:r>
      <w:r w:rsidRPr="008B544C">
        <w:rPr>
          <w:rFonts w:ascii="Arial" w:hAnsi="Arial" w:cs="Arial"/>
          <w:sz w:val="22"/>
          <w:szCs w:val="22"/>
        </w:rPr>
        <w:t>).</w:t>
      </w:r>
    </w:p>
    <w:p w14:paraId="52DE28AC" w14:textId="77777777" w:rsidR="003E4690" w:rsidRPr="008B544C" w:rsidRDefault="003E4690" w:rsidP="00FE731B">
      <w:pPr>
        <w:numPr>
          <w:ilvl w:val="0"/>
          <w:numId w:val="19"/>
        </w:numPr>
        <w:spacing w:line="360" w:lineRule="auto"/>
        <w:rPr>
          <w:rFonts w:ascii="Arial" w:hAnsi="Arial" w:cs="Arial"/>
          <w:sz w:val="22"/>
          <w:szCs w:val="22"/>
        </w:rPr>
      </w:pPr>
      <w:r w:rsidRPr="008B544C">
        <w:rPr>
          <w:rFonts w:ascii="Arial" w:hAnsi="Arial" w:cs="Arial"/>
          <w:b/>
          <w:bCs/>
          <w:sz w:val="22"/>
          <w:szCs w:val="22"/>
        </w:rPr>
        <w:t>Additional Strategic Factors</w:t>
      </w:r>
      <w:r w:rsidRPr="008B544C">
        <w:rPr>
          <w:rFonts w:ascii="Arial" w:hAnsi="Arial" w:cs="Arial"/>
          <w:sz w:val="22"/>
          <w:szCs w:val="22"/>
        </w:rPr>
        <w:t>: BP's acquisition is also motivated by the acquisition of 1,600 truck parking spaces, the development of biodiesel blending infrastructure, the deployment of BP Pulse EV charging stations, and the enhancement of customer experiences through improved store designs and loyalty programs (Clark, 2023).</w:t>
      </w:r>
    </w:p>
    <w:p w14:paraId="51FC2612" w14:textId="0BC95559" w:rsidR="003E4690" w:rsidRPr="008B544C" w:rsidRDefault="003E4690" w:rsidP="00FE731B">
      <w:pPr>
        <w:pStyle w:val="ListParagraph"/>
        <w:spacing w:line="360" w:lineRule="auto"/>
        <w:rPr>
          <w:rFonts w:ascii="Arial" w:hAnsi="Arial" w:cs="Arial"/>
          <w:b/>
          <w:bCs/>
          <w:sz w:val="22"/>
          <w:szCs w:val="22"/>
        </w:rPr>
      </w:pPr>
      <w:r w:rsidRPr="008B544C">
        <w:rPr>
          <w:rFonts w:ascii="Arial" w:hAnsi="Arial" w:cs="Arial"/>
          <w:b/>
          <w:bCs/>
          <w:sz w:val="22"/>
          <w:szCs w:val="22"/>
        </w:rPr>
        <w:t>Strategic Analysis of BP's Acquisition of TravelCenters of America</w:t>
      </w:r>
    </w:p>
    <w:p w14:paraId="514D72A7" w14:textId="6DE2E519" w:rsidR="003E4690" w:rsidRPr="008B544C" w:rsidRDefault="003E4690" w:rsidP="00FE731B">
      <w:pPr>
        <w:pStyle w:val="ListParagraph"/>
        <w:spacing w:line="360" w:lineRule="auto"/>
        <w:rPr>
          <w:rFonts w:ascii="Arial" w:hAnsi="Arial" w:cs="Arial"/>
          <w:sz w:val="22"/>
          <w:szCs w:val="22"/>
        </w:rPr>
      </w:pPr>
      <w:r w:rsidRPr="008B544C">
        <w:rPr>
          <w:rFonts w:ascii="Arial" w:hAnsi="Arial" w:cs="Arial"/>
          <w:sz w:val="22"/>
          <w:szCs w:val="22"/>
        </w:rPr>
        <w:t xml:space="preserve">BP's acquisition of TravelCenters of America significantly </w:t>
      </w:r>
      <w:r w:rsidR="001D1B2D" w:rsidRPr="008B544C">
        <w:rPr>
          <w:rFonts w:ascii="Arial" w:hAnsi="Arial" w:cs="Arial"/>
          <w:sz w:val="22"/>
          <w:szCs w:val="22"/>
        </w:rPr>
        <w:t>strengthens</w:t>
      </w:r>
      <w:r w:rsidRPr="008B544C">
        <w:rPr>
          <w:rFonts w:ascii="Arial" w:hAnsi="Arial" w:cs="Arial"/>
          <w:sz w:val="22"/>
          <w:szCs w:val="22"/>
        </w:rPr>
        <w:t xml:space="preserve"> its position in the U.S. energy and transportation sectors. At the time of acquisition, TA operated 276 service centers nationwide, enabling BP to expand its reach and offer low-carbon energy options, including electric vehicle (EV) charging, biofuels, and renewable natural gas. This initiative aligns with BP's goal of enhancing mobility and convenience services by introducing renewable energy sources at key highway locations (TravelCenters of America, 2022).</w:t>
      </w:r>
    </w:p>
    <w:p w14:paraId="23346303" w14:textId="77777777" w:rsidR="003E4690" w:rsidRPr="008B544C" w:rsidRDefault="003E4690" w:rsidP="00FE731B">
      <w:pPr>
        <w:pStyle w:val="ListParagraph"/>
        <w:spacing w:line="360" w:lineRule="auto"/>
        <w:rPr>
          <w:rFonts w:ascii="Arial" w:hAnsi="Arial" w:cs="Arial"/>
          <w:b/>
          <w:bCs/>
          <w:sz w:val="22"/>
          <w:szCs w:val="22"/>
        </w:rPr>
      </w:pPr>
      <w:r w:rsidRPr="008B544C">
        <w:rPr>
          <w:rFonts w:ascii="Arial" w:hAnsi="Arial" w:cs="Arial"/>
          <w:b/>
          <w:bCs/>
          <w:sz w:val="22"/>
          <w:szCs w:val="22"/>
        </w:rPr>
        <w:t>Expansion of Service Centers</w:t>
      </w:r>
    </w:p>
    <w:p w14:paraId="2BC7249C" w14:textId="77777777" w:rsidR="003E4690" w:rsidRPr="008B544C" w:rsidRDefault="003E4690" w:rsidP="00FE731B">
      <w:pPr>
        <w:pStyle w:val="ListParagraph"/>
        <w:spacing w:line="360" w:lineRule="auto"/>
        <w:rPr>
          <w:rFonts w:ascii="Arial" w:hAnsi="Arial" w:cs="Arial"/>
          <w:sz w:val="22"/>
          <w:szCs w:val="22"/>
        </w:rPr>
      </w:pPr>
      <w:r w:rsidRPr="008B544C">
        <w:rPr>
          <w:rFonts w:ascii="Arial" w:hAnsi="Arial" w:cs="Arial"/>
          <w:sz w:val="22"/>
          <w:szCs w:val="22"/>
        </w:rPr>
        <w:t>BP now has access to over 74,000 parking spots, including 48,000 designated for trucks, thereby improving support for logistics and commercial fleets amid rising demand for EV infrastructure (TravelCenters of America, 2022).</w:t>
      </w:r>
    </w:p>
    <w:p w14:paraId="11D44932" w14:textId="0A3D09E3" w:rsidR="003E4690" w:rsidRPr="008B544C" w:rsidRDefault="003E4690" w:rsidP="00FE731B">
      <w:pPr>
        <w:pStyle w:val="ListParagraph"/>
        <w:spacing w:line="360" w:lineRule="auto"/>
        <w:rPr>
          <w:rFonts w:ascii="Arial" w:hAnsi="Arial" w:cs="Arial"/>
          <w:b/>
          <w:bCs/>
          <w:sz w:val="22"/>
          <w:szCs w:val="22"/>
        </w:rPr>
      </w:pPr>
      <w:r w:rsidRPr="008B544C">
        <w:rPr>
          <w:rFonts w:ascii="Arial" w:hAnsi="Arial" w:cs="Arial"/>
          <w:b/>
          <w:bCs/>
          <w:sz w:val="22"/>
          <w:szCs w:val="22"/>
        </w:rPr>
        <w:t xml:space="preserve">Truck Services </w:t>
      </w:r>
    </w:p>
    <w:p w14:paraId="1808B272" w14:textId="77777777" w:rsidR="003E4690" w:rsidRPr="008B544C" w:rsidRDefault="003E4690" w:rsidP="00FE731B">
      <w:pPr>
        <w:pStyle w:val="ListParagraph"/>
        <w:spacing w:line="360" w:lineRule="auto"/>
        <w:rPr>
          <w:rFonts w:ascii="Arial" w:hAnsi="Arial" w:cs="Arial"/>
          <w:sz w:val="22"/>
          <w:szCs w:val="22"/>
        </w:rPr>
      </w:pPr>
      <w:r w:rsidRPr="008B544C">
        <w:rPr>
          <w:rFonts w:ascii="Arial" w:hAnsi="Arial" w:cs="Arial"/>
          <w:sz w:val="22"/>
          <w:szCs w:val="22"/>
        </w:rPr>
        <w:t>The acquisition enhances BP's truck service capabilities by integrating 259 repair and maintenance shops, many equipped with three to six service bays. These facilities provide 24/7 maintenance and emergency repair services, which are crucial for BP's transportation operations (TravelCenters of America, 2022).</w:t>
      </w:r>
    </w:p>
    <w:p w14:paraId="20B28A7F" w14:textId="77777777" w:rsidR="003E4690" w:rsidRPr="008B544C" w:rsidRDefault="003E4690" w:rsidP="00FE731B">
      <w:pPr>
        <w:pStyle w:val="ListParagraph"/>
        <w:spacing w:line="360" w:lineRule="auto"/>
        <w:rPr>
          <w:rFonts w:ascii="Arial" w:hAnsi="Arial" w:cs="Arial"/>
          <w:b/>
          <w:bCs/>
          <w:sz w:val="22"/>
          <w:szCs w:val="22"/>
        </w:rPr>
      </w:pPr>
      <w:r w:rsidRPr="008B544C">
        <w:rPr>
          <w:rFonts w:ascii="Arial" w:hAnsi="Arial" w:cs="Arial"/>
          <w:b/>
          <w:bCs/>
          <w:sz w:val="22"/>
          <w:szCs w:val="22"/>
        </w:rPr>
        <w:t>Non-Fuel Services</w:t>
      </w:r>
    </w:p>
    <w:p w14:paraId="0E9923AB" w14:textId="5E82C389" w:rsidR="00947A83" w:rsidRPr="008B544C" w:rsidRDefault="003E4690" w:rsidP="00721584">
      <w:pPr>
        <w:pStyle w:val="ListParagraph"/>
        <w:spacing w:line="360" w:lineRule="auto"/>
        <w:rPr>
          <w:rFonts w:ascii="Arial" w:hAnsi="Arial" w:cs="Arial"/>
          <w:sz w:val="22"/>
          <w:szCs w:val="22"/>
        </w:rPr>
      </w:pPr>
      <w:r w:rsidRPr="008B544C">
        <w:rPr>
          <w:rFonts w:ascii="Arial" w:hAnsi="Arial" w:cs="Arial"/>
          <w:sz w:val="22"/>
          <w:szCs w:val="22"/>
        </w:rPr>
        <w:t xml:space="preserve">TA offers a diverse array of foodservice options, including 62 quick-service restaurants and 152 full-service dining establishments, thereby enriching BP's service portfolio. BP plans to install biodiesel blending infrastructure and BP Pulse </w:t>
      </w:r>
      <w:r w:rsidRPr="008B544C">
        <w:rPr>
          <w:rFonts w:ascii="Arial" w:hAnsi="Arial" w:cs="Arial"/>
          <w:sz w:val="22"/>
          <w:szCs w:val="22"/>
        </w:rPr>
        <w:lastRenderedPageBreak/>
        <w:t>EV charging stations at select</w:t>
      </w:r>
      <w:r w:rsidR="00721584" w:rsidRPr="008B544C">
        <w:rPr>
          <w:rFonts w:ascii="Arial" w:hAnsi="Arial" w:cs="Arial"/>
          <w:sz w:val="22"/>
          <w:szCs w:val="22"/>
        </w:rPr>
        <w:t>ed</w:t>
      </w:r>
      <w:r w:rsidRPr="008B544C">
        <w:rPr>
          <w:rFonts w:ascii="Arial" w:hAnsi="Arial" w:cs="Arial"/>
          <w:sz w:val="22"/>
          <w:szCs w:val="22"/>
        </w:rPr>
        <w:t xml:space="preserve"> locations to promote sustainability (TravelCenters of America, 2022).</w:t>
      </w:r>
    </w:p>
    <w:p w14:paraId="2A713AA0" w14:textId="77777777" w:rsidR="00721584" w:rsidRPr="008B544C" w:rsidRDefault="00721584" w:rsidP="00721584">
      <w:pPr>
        <w:pStyle w:val="ListParagraph"/>
        <w:spacing w:line="360" w:lineRule="auto"/>
        <w:rPr>
          <w:rFonts w:ascii="Arial" w:hAnsi="Arial" w:cs="Arial"/>
          <w:sz w:val="22"/>
          <w:szCs w:val="22"/>
        </w:rPr>
      </w:pPr>
    </w:p>
    <w:p w14:paraId="1D836173" w14:textId="34C1EC75" w:rsidR="003E4690" w:rsidRPr="008B544C" w:rsidRDefault="003E4690" w:rsidP="00FE731B">
      <w:pPr>
        <w:pStyle w:val="ListParagraph"/>
        <w:spacing w:line="360" w:lineRule="auto"/>
        <w:rPr>
          <w:rFonts w:ascii="Arial" w:hAnsi="Arial" w:cs="Arial"/>
          <w:b/>
          <w:bCs/>
          <w:sz w:val="22"/>
          <w:szCs w:val="22"/>
        </w:rPr>
      </w:pPr>
      <w:r w:rsidRPr="008B544C">
        <w:rPr>
          <w:rFonts w:ascii="Arial" w:hAnsi="Arial" w:cs="Arial"/>
          <w:b/>
          <w:bCs/>
          <w:sz w:val="22"/>
          <w:szCs w:val="22"/>
        </w:rPr>
        <w:t>Employee Growth</w:t>
      </w:r>
    </w:p>
    <w:p w14:paraId="543E49EC" w14:textId="77777777" w:rsidR="003E4690" w:rsidRPr="008B544C" w:rsidRDefault="003E4690" w:rsidP="00FE731B">
      <w:pPr>
        <w:pStyle w:val="ListParagraph"/>
        <w:spacing w:line="360" w:lineRule="auto"/>
        <w:rPr>
          <w:rFonts w:ascii="Arial" w:hAnsi="Arial" w:cs="Arial"/>
          <w:sz w:val="22"/>
          <w:szCs w:val="22"/>
        </w:rPr>
      </w:pPr>
      <w:r w:rsidRPr="008B544C">
        <w:rPr>
          <w:rFonts w:ascii="Arial" w:hAnsi="Arial" w:cs="Arial"/>
          <w:sz w:val="22"/>
          <w:szCs w:val="22"/>
        </w:rPr>
        <w:t>The acquisition has resulted in the addition of 945 employees across various operational areas, thereby enhancing BP's operational capacity (TravelCenters of America, 2022).</w:t>
      </w:r>
    </w:p>
    <w:p w14:paraId="74A6D812" w14:textId="77777777" w:rsidR="003E4690" w:rsidRPr="008B544C" w:rsidRDefault="003E4690" w:rsidP="00FE731B">
      <w:pPr>
        <w:pStyle w:val="ListParagraph"/>
        <w:spacing w:line="360" w:lineRule="auto"/>
        <w:rPr>
          <w:rFonts w:ascii="Arial" w:hAnsi="Arial" w:cs="Arial"/>
          <w:b/>
          <w:bCs/>
          <w:sz w:val="22"/>
          <w:szCs w:val="22"/>
        </w:rPr>
      </w:pPr>
      <w:r w:rsidRPr="008B544C">
        <w:rPr>
          <w:rFonts w:ascii="Arial" w:hAnsi="Arial" w:cs="Arial"/>
          <w:b/>
          <w:bCs/>
          <w:sz w:val="22"/>
          <w:szCs w:val="22"/>
        </w:rPr>
        <w:t>Market Potential</w:t>
      </w:r>
    </w:p>
    <w:p w14:paraId="3FBC159D" w14:textId="77777777" w:rsidR="003E4690" w:rsidRPr="008B544C" w:rsidRDefault="003E4690" w:rsidP="00FE731B">
      <w:pPr>
        <w:pStyle w:val="ListParagraph"/>
        <w:spacing w:line="360" w:lineRule="auto"/>
        <w:rPr>
          <w:rFonts w:ascii="Arial" w:hAnsi="Arial" w:cs="Arial"/>
          <w:sz w:val="22"/>
          <w:szCs w:val="22"/>
        </w:rPr>
      </w:pPr>
      <w:r w:rsidRPr="008B544C">
        <w:rPr>
          <w:rFonts w:ascii="Arial" w:hAnsi="Arial" w:cs="Arial"/>
          <w:sz w:val="22"/>
          <w:szCs w:val="22"/>
        </w:rPr>
        <w:t>The U.S. EV charging infrastructure market, valued at USD 4.10 billion in 2023, is projected to reach USD 53.14 billion by 2033, reflecting a compound annual growth rate (CAGR) of 29.2%. The fast charger segment currently dominates the market, while the commercial sector is expected to experience the most significant growth (Research Insights, 2023).</w:t>
      </w:r>
    </w:p>
    <w:p w14:paraId="7C491625" w14:textId="77777777" w:rsidR="00F00D1D" w:rsidRPr="008B544C" w:rsidRDefault="00F00D1D" w:rsidP="00FE731B">
      <w:pPr>
        <w:pStyle w:val="ListParagraph"/>
        <w:spacing w:line="360" w:lineRule="auto"/>
        <w:rPr>
          <w:rFonts w:ascii="Arial" w:hAnsi="Arial" w:cs="Arial"/>
          <w:sz w:val="22"/>
          <w:szCs w:val="22"/>
        </w:rPr>
      </w:pPr>
    </w:p>
    <w:p w14:paraId="525E85D3" w14:textId="7CABA310" w:rsidR="00F00D1D" w:rsidRPr="008B544C" w:rsidRDefault="0092474F" w:rsidP="00FE731B">
      <w:pPr>
        <w:spacing w:line="360" w:lineRule="auto"/>
        <w:rPr>
          <w:rFonts w:ascii="Arial" w:hAnsi="Arial" w:cs="Arial"/>
          <w:b/>
          <w:bCs/>
          <w:sz w:val="22"/>
          <w:szCs w:val="22"/>
        </w:rPr>
      </w:pPr>
      <w:r w:rsidRPr="008B544C">
        <w:rPr>
          <w:rFonts w:ascii="Arial" w:hAnsi="Arial" w:cs="Arial"/>
          <w:b/>
          <w:bCs/>
          <w:sz w:val="22"/>
          <w:szCs w:val="22"/>
        </w:rPr>
        <w:t xml:space="preserve">        </w:t>
      </w:r>
      <w:r w:rsidR="00F00D1D" w:rsidRPr="008B544C">
        <w:rPr>
          <w:rFonts w:ascii="Arial" w:hAnsi="Arial" w:cs="Arial"/>
          <w:b/>
          <w:bCs/>
          <w:sz w:val="22"/>
          <w:szCs w:val="22"/>
        </w:rPr>
        <w:t>Profit Growth Analysis</w:t>
      </w:r>
    </w:p>
    <w:p w14:paraId="0F40DAE1" w14:textId="77777777" w:rsidR="00F00D1D" w:rsidRPr="008B544C" w:rsidRDefault="00F00D1D" w:rsidP="00FE731B">
      <w:pPr>
        <w:spacing w:line="360" w:lineRule="auto"/>
        <w:rPr>
          <w:rFonts w:ascii="Arial" w:hAnsi="Arial" w:cs="Arial"/>
          <w:sz w:val="22"/>
          <w:szCs w:val="22"/>
        </w:rPr>
      </w:pPr>
      <w:r w:rsidRPr="008B544C">
        <w:rPr>
          <w:rFonts w:ascii="Arial" w:hAnsi="Arial" w:cs="Arial"/>
          <w:sz w:val="22"/>
          <w:szCs w:val="22"/>
        </w:rPr>
        <w:t>Profit growth is essential for estimating future cash flows, as highlighted by Smith (2020). BP's total revenue post-acquisition will encompass various revenue streams, including gasoline services, non-fuel operations, and franchise rents, which are critical for evaluating the company's financial performance (Jones, 2021).</w:t>
      </w:r>
    </w:p>
    <w:p w14:paraId="5360FFA9" w14:textId="77777777" w:rsidR="008A3F73" w:rsidRPr="008B544C" w:rsidRDefault="008A3F73" w:rsidP="00FE731B">
      <w:pPr>
        <w:spacing w:line="360" w:lineRule="auto"/>
        <w:rPr>
          <w:rFonts w:ascii="Arial" w:hAnsi="Arial" w:cs="Arial"/>
          <w:sz w:val="22"/>
          <w:szCs w:val="22"/>
        </w:rPr>
      </w:pPr>
    </w:p>
    <w:p w14:paraId="007A6A9D" w14:textId="77777777" w:rsidR="008A3F73" w:rsidRPr="008B544C" w:rsidRDefault="008A3F73" w:rsidP="00FE731B">
      <w:pPr>
        <w:spacing w:line="360" w:lineRule="auto"/>
        <w:rPr>
          <w:rFonts w:ascii="Arial" w:hAnsi="Arial" w:cs="Arial"/>
          <w:b/>
          <w:bCs/>
          <w:sz w:val="22"/>
          <w:szCs w:val="22"/>
        </w:rPr>
      </w:pPr>
      <w:r w:rsidRPr="008B544C">
        <w:rPr>
          <w:rFonts w:ascii="Arial" w:hAnsi="Arial" w:cs="Arial"/>
          <w:b/>
          <w:bCs/>
          <w:sz w:val="22"/>
          <w:szCs w:val="22"/>
        </w:rPr>
        <w:t>Profit Margins</w:t>
      </w:r>
    </w:p>
    <w:p w14:paraId="7358A7FA" w14:textId="77777777" w:rsidR="008A3F73" w:rsidRPr="008B544C" w:rsidRDefault="008A3F73" w:rsidP="00FE731B">
      <w:pPr>
        <w:spacing w:line="360" w:lineRule="auto"/>
        <w:rPr>
          <w:rFonts w:ascii="Arial" w:hAnsi="Arial" w:cs="Arial"/>
          <w:sz w:val="22"/>
          <w:szCs w:val="22"/>
        </w:rPr>
      </w:pPr>
      <w:r w:rsidRPr="008B544C">
        <w:rPr>
          <w:rFonts w:ascii="Arial" w:hAnsi="Arial" w:cs="Arial"/>
          <w:sz w:val="22"/>
          <w:szCs w:val="22"/>
        </w:rPr>
        <w:t>Examining Earnings Before Interest and Taxes (EBIT) margins post-acquisition is vital for understanding TA's financial performance under BP's ownership. Although the full impact of the acquisition will not be evident in BP's 2023 results, TA's performance in 2022 provides a preliminary benchmark. Revenue is projected to grow at a 3.5% annual rate from 2023 to 2025, driven by the conversion of service centers into EV charging stations, with the EBIT margin stabilizing at 2.3% (Brown, 2022). This analysis emphasizes the importance of profit margins in assessing BP's ability to translate revenue growth into long-term profitability.</w:t>
      </w:r>
    </w:p>
    <w:p w14:paraId="2B3122B3" w14:textId="77777777" w:rsidR="008A3F73" w:rsidRPr="008B544C" w:rsidRDefault="008A3F73" w:rsidP="00FE731B">
      <w:pPr>
        <w:spacing w:line="360" w:lineRule="auto"/>
        <w:rPr>
          <w:rFonts w:ascii="Arial" w:hAnsi="Arial" w:cs="Arial"/>
          <w:b/>
          <w:bCs/>
          <w:sz w:val="22"/>
          <w:szCs w:val="22"/>
        </w:rPr>
      </w:pPr>
      <w:r w:rsidRPr="008B544C">
        <w:rPr>
          <w:rFonts w:ascii="Arial" w:hAnsi="Arial" w:cs="Arial"/>
          <w:b/>
          <w:bCs/>
          <w:sz w:val="22"/>
          <w:szCs w:val="22"/>
        </w:rPr>
        <w:t>Sales Growth</w:t>
      </w:r>
    </w:p>
    <w:p w14:paraId="57B41AB4" w14:textId="5E9180C7" w:rsidR="008A3F73" w:rsidRPr="008B544C" w:rsidRDefault="008A3F73" w:rsidP="00FE731B">
      <w:pPr>
        <w:spacing w:line="360" w:lineRule="auto"/>
        <w:rPr>
          <w:rFonts w:ascii="Arial" w:hAnsi="Arial" w:cs="Arial"/>
          <w:sz w:val="22"/>
          <w:szCs w:val="22"/>
        </w:rPr>
      </w:pPr>
      <w:r w:rsidRPr="008B544C">
        <w:rPr>
          <w:rFonts w:ascii="Arial" w:hAnsi="Arial" w:cs="Arial"/>
          <w:sz w:val="22"/>
          <w:szCs w:val="22"/>
        </w:rPr>
        <w:t>TA's revenue growth tra</w:t>
      </w:r>
      <w:r w:rsidR="00440C2B" w:rsidRPr="008B544C">
        <w:rPr>
          <w:rFonts w:ascii="Arial" w:hAnsi="Arial" w:cs="Arial"/>
          <w:sz w:val="22"/>
          <w:szCs w:val="22"/>
        </w:rPr>
        <w:t>ck</w:t>
      </w:r>
      <w:r w:rsidRPr="008B544C">
        <w:rPr>
          <w:rFonts w:ascii="Arial" w:hAnsi="Arial" w:cs="Arial"/>
          <w:sz w:val="22"/>
          <w:szCs w:val="22"/>
        </w:rPr>
        <w:t xml:space="preserve"> has been consistent, with projections indicating increases of 3.5% in 2023 and 2024, followed by a 3.6% increase in 2025 (Johnson, 2023). From 2020 to 2022, TA experienced an average annual sales growth rate of 2.5%, indicating a stable revenue increase (Lee, 2021). This continued rise indicates a robust expansion that is projected to strengthen BP's revenue base in the service sector (Miller, 2022).</w:t>
      </w:r>
    </w:p>
    <w:p w14:paraId="4C6AE230" w14:textId="77777777" w:rsidR="008A3F73" w:rsidRPr="008B544C" w:rsidRDefault="008A3F73" w:rsidP="00FE731B">
      <w:pPr>
        <w:spacing w:line="360" w:lineRule="auto"/>
        <w:rPr>
          <w:rFonts w:ascii="Arial" w:hAnsi="Arial" w:cs="Arial"/>
          <w:sz w:val="22"/>
          <w:szCs w:val="22"/>
        </w:rPr>
      </w:pPr>
    </w:p>
    <w:p w14:paraId="64CAA682" w14:textId="77777777" w:rsidR="008A3F73" w:rsidRPr="008B544C" w:rsidRDefault="008A3F73" w:rsidP="00FE731B">
      <w:pPr>
        <w:spacing w:line="360" w:lineRule="auto"/>
        <w:ind w:left="720"/>
        <w:rPr>
          <w:rFonts w:ascii="Arial" w:hAnsi="Arial" w:cs="Arial"/>
          <w:sz w:val="22"/>
          <w:szCs w:val="22"/>
        </w:rPr>
      </w:pPr>
      <w:r w:rsidRPr="008B544C">
        <w:rPr>
          <w:rFonts w:ascii="Arial" w:hAnsi="Arial" w:cs="Arial"/>
          <w:b/>
          <w:bCs/>
          <w:sz w:val="22"/>
          <w:szCs w:val="22"/>
        </w:rPr>
        <w:t>Revenue Growth</w:t>
      </w:r>
      <w:r w:rsidRPr="008B544C">
        <w:rPr>
          <w:rFonts w:ascii="Arial" w:hAnsi="Arial" w:cs="Arial"/>
          <w:sz w:val="22"/>
          <w:szCs w:val="22"/>
        </w:rPr>
        <w:t>: The anticipated growth rate for TA reflects BP's influence and the transition of TA service centers into EV stations. This trend suggests enhanced operational efficiencies, new investments, and BP's strong market reputation, which are expected to bolster BP's revenue base in the service sector (Wright, 2023; Miller, 2022).</w:t>
      </w:r>
    </w:p>
    <w:p w14:paraId="4D62BE57" w14:textId="77777777" w:rsidR="008A3F73" w:rsidRPr="008B544C" w:rsidRDefault="008A3F73" w:rsidP="00FE731B">
      <w:pPr>
        <w:spacing w:line="360" w:lineRule="auto"/>
        <w:ind w:left="720"/>
        <w:rPr>
          <w:rFonts w:ascii="Arial" w:hAnsi="Arial" w:cs="Arial"/>
          <w:sz w:val="22"/>
          <w:szCs w:val="22"/>
        </w:rPr>
      </w:pPr>
      <w:r w:rsidRPr="008B544C">
        <w:rPr>
          <w:rFonts w:ascii="Arial" w:hAnsi="Arial" w:cs="Arial"/>
          <w:b/>
          <w:bCs/>
          <w:sz w:val="22"/>
          <w:szCs w:val="22"/>
        </w:rPr>
        <w:t>EBIT Growth</w:t>
      </w:r>
      <w:r w:rsidRPr="008B544C">
        <w:rPr>
          <w:rFonts w:ascii="Arial" w:hAnsi="Arial" w:cs="Arial"/>
          <w:sz w:val="22"/>
          <w:szCs w:val="22"/>
        </w:rPr>
        <w:t>: TA's EBIT surged from $10,776 in 2020 to $252,889 in 2022, demonstrating improved operational efficiency. The EBIT margin increased from 0.2% in 2020 to 2.3% in 2022 (Harris, 2022). While EBIT is expected to grow consistently from 2023 to 2025, the growth rate will be more moderate, maintaining the EBIT margin at 2.3%. This suggests that BP's acquisition will sustain profitability through effective cost management rather than rapid margin gains (Green, 2023).</w:t>
      </w:r>
    </w:p>
    <w:p w14:paraId="6BF0BE00" w14:textId="51AED1B3" w:rsidR="00655F42" w:rsidRPr="008B544C" w:rsidRDefault="00655F42" w:rsidP="00FE731B">
      <w:pPr>
        <w:spacing w:line="360" w:lineRule="auto"/>
        <w:ind w:left="720"/>
        <w:rPr>
          <w:rFonts w:ascii="Arial" w:hAnsi="Arial" w:cs="Arial"/>
          <w:b/>
          <w:bCs/>
          <w:sz w:val="22"/>
          <w:szCs w:val="22"/>
        </w:rPr>
      </w:pPr>
    </w:p>
    <w:p w14:paraId="36C92AEB" w14:textId="1CBFF8A0" w:rsidR="00655F42" w:rsidRPr="008B544C" w:rsidRDefault="00655F42" w:rsidP="008C5507">
      <w:pPr>
        <w:pStyle w:val="ListParagraph"/>
        <w:numPr>
          <w:ilvl w:val="1"/>
          <w:numId w:val="54"/>
        </w:numPr>
        <w:spacing w:line="360" w:lineRule="auto"/>
        <w:rPr>
          <w:rFonts w:ascii="Arial" w:hAnsi="Arial" w:cs="Arial"/>
          <w:sz w:val="22"/>
          <w:szCs w:val="22"/>
        </w:rPr>
      </w:pPr>
      <w:r w:rsidRPr="008B544C">
        <w:rPr>
          <w:rFonts w:ascii="Arial" w:hAnsi="Arial" w:cs="Arial"/>
          <w:b/>
          <w:bCs/>
          <w:sz w:val="22"/>
          <w:szCs w:val="22"/>
        </w:rPr>
        <w:t>Impact on BP's Financial Performance</w:t>
      </w:r>
      <w:r w:rsidRPr="008B544C">
        <w:rPr>
          <w:rFonts w:ascii="Arial" w:hAnsi="Arial" w:cs="Arial"/>
          <w:sz w:val="22"/>
          <w:szCs w:val="22"/>
        </w:rPr>
        <w:t>:</w:t>
      </w:r>
    </w:p>
    <w:p w14:paraId="5E8045B9" w14:textId="77777777" w:rsidR="00655F42" w:rsidRPr="008B544C" w:rsidRDefault="00655F42" w:rsidP="00FE731B">
      <w:pPr>
        <w:numPr>
          <w:ilvl w:val="1"/>
          <w:numId w:val="20"/>
        </w:numPr>
        <w:spacing w:line="360" w:lineRule="auto"/>
        <w:rPr>
          <w:rFonts w:ascii="Arial" w:hAnsi="Arial" w:cs="Arial"/>
          <w:sz w:val="22"/>
          <w:szCs w:val="22"/>
        </w:rPr>
      </w:pPr>
      <w:r w:rsidRPr="008B544C">
        <w:rPr>
          <w:rFonts w:ascii="Arial" w:hAnsi="Arial" w:cs="Arial"/>
          <w:b/>
          <w:bCs/>
          <w:sz w:val="22"/>
          <w:szCs w:val="22"/>
        </w:rPr>
        <w:t>Revenue Boost</w:t>
      </w:r>
      <w:r w:rsidRPr="008B544C">
        <w:rPr>
          <w:rFonts w:ascii="Arial" w:hAnsi="Arial" w:cs="Arial"/>
          <w:sz w:val="22"/>
          <w:szCs w:val="22"/>
        </w:rPr>
        <w:t>: TA's ongoing sales growth is likely to result in sustained revenue increases for BP, particularly with the conversion of TA centers into EV stations (Keller, 2023). The projected growth rate of 3.5% to 3.6% in the coming years will positively impact BP's service sector.</w:t>
      </w:r>
    </w:p>
    <w:p w14:paraId="79FFA791" w14:textId="77777777" w:rsidR="00655F42" w:rsidRPr="008B544C" w:rsidRDefault="00655F42" w:rsidP="00FE731B">
      <w:pPr>
        <w:numPr>
          <w:ilvl w:val="1"/>
          <w:numId w:val="20"/>
        </w:numPr>
        <w:spacing w:line="360" w:lineRule="auto"/>
        <w:rPr>
          <w:rFonts w:ascii="Arial" w:hAnsi="Arial" w:cs="Arial"/>
          <w:sz w:val="22"/>
          <w:szCs w:val="22"/>
        </w:rPr>
      </w:pPr>
      <w:r w:rsidRPr="008B544C">
        <w:rPr>
          <w:rFonts w:ascii="Arial" w:hAnsi="Arial" w:cs="Arial"/>
          <w:b/>
          <w:bCs/>
          <w:sz w:val="22"/>
          <w:szCs w:val="22"/>
        </w:rPr>
        <w:t>EBIT Contribution</w:t>
      </w:r>
      <w:r w:rsidRPr="008B544C">
        <w:rPr>
          <w:rFonts w:ascii="Arial" w:hAnsi="Arial" w:cs="Arial"/>
          <w:sz w:val="22"/>
          <w:szCs w:val="22"/>
        </w:rPr>
        <w:t>: The improving EBIT figures underscore TA's value as an acquisition. However, the steady EBIT margin indicates that BP must focus on operational improvements or cost reductions to enhance profit margins. Future EBIT growth may be constrained unless strategic actions are implemented to boost profitability beyond mere revenue increases (Anderson, 2022).</w:t>
      </w:r>
    </w:p>
    <w:p w14:paraId="61258311" w14:textId="2A8F30DA" w:rsidR="000227CF" w:rsidRPr="008B544C" w:rsidRDefault="00655F42" w:rsidP="00FE731B">
      <w:pPr>
        <w:numPr>
          <w:ilvl w:val="1"/>
          <w:numId w:val="20"/>
        </w:numPr>
        <w:spacing w:line="360" w:lineRule="auto"/>
        <w:rPr>
          <w:rFonts w:ascii="Arial" w:hAnsi="Arial" w:cs="Arial"/>
          <w:sz w:val="22"/>
          <w:szCs w:val="22"/>
        </w:rPr>
      </w:pPr>
      <w:r w:rsidRPr="008B544C">
        <w:rPr>
          <w:rFonts w:ascii="Arial" w:hAnsi="Arial" w:cs="Arial"/>
          <w:b/>
          <w:bCs/>
          <w:sz w:val="22"/>
          <w:szCs w:val="22"/>
        </w:rPr>
        <w:t>Long-Term Outlook</w:t>
      </w:r>
      <w:r w:rsidRPr="008B544C">
        <w:rPr>
          <w:rFonts w:ascii="Arial" w:hAnsi="Arial" w:cs="Arial"/>
          <w:sz w:val="22"/>
          <w:szCs w:val="22"/>
        </w:rPr>
        <w:t>: Effective cost-cutting strategies or leveraging acquisition synergies, such as utilizing global resources for EV station expansion, could enhance the EBIT margin over time. Conversely, maintaining current operational standards may yield stable but modest returns (Clark, 2023).</w:t>
      </w:r>
    </w:p>
    <w:p w14:paraId="72CB3C62" w14:textId="77777777" w:rsidR="000227CF" w:rsidRPr="008B544C" w:rsidRDefault="000227CF" w:rsidP="00FE731B">
      <w:pPr>
        <w:spacing w:line="360" w:lineRule="auto"/>
        <w:rPr>
          <w:rFonts w:ascii="Arial" w:hAnsi="Arial" w:cs="Arial"/>
          <w:sz w:val="22"/>
          <w:szCs w:val="22"/>
        </w:rPr>
      </w:pPr>
    </w:p>
    <w:p w14:paraId="7D883805" w14:textId="77777777" w:rsidR="000227CF" w:rsidRPr="008B544C" w:rsidRDefault="000227CF" w:rsidP="00FE731B">
      <w:pPr>
        <w:spacing w:line="360" w:lineRule="auto"/>
        <w:rPr>
          <w:rFonts w:ascii="Arial" w:hAnsi="Arial" w:cs="Arial"/>
          <w:b/>
          <w:bCs/>
          <w:sz w:val="22"/>
          <w:szCs w:val="22"/>
        </w:rPr>
      </w:pPr>
      <w:r w:rsidRPr="008B544C">
        <w:rPr>
          <w:rFonts w:ascii="Arial" w:hAnsi="Arial" w:cs="Arial"/>
          <w:sz w:val="22"/>
          <w:szCs w:val="22"/>
        </w:rPr>
        <w:t xml:space="preserve">       </w:t>
      </w:r>
      <w:r w:rsidRPr="008B544C">
        <w:rPr>
          <w:rFonts w:ascii="Arial" w:hAnsi="Arial" w:cs="Arial"/>
          <w:b/>
          <w:bCs/>
          <w:sz w:val="22"/>
          <w:szCs w:val="22"/>
        </w:rPr>
        <w:t>Weighted Average Cost of Capital (WACC)</w:t>
      </w:r>
    </w:p>
    <w:p w14:paraId="6DDA238E" w14:textId="68BC15F9" w:rsidR="000227CF" w:rsidRPr="008B544C" w:rsidRDefault="000227CF" w:rsidP="00FE731B">
      <w:pPr>
        <w:spacing w:line="360" w:lineRule="auto"/>
        <w:rPr>
          <w:rFonts w:ascii="Arial" w:hAnsi="Arial" w:cs="Arial"/>
          <w:sz w:val="22"/>
          <w:szCs w:val="22"/>
        </w:rPr>
      </w:pPr>
      <w:r w:rsidRPr="008B544C">
        <w:rPr>
          <w:rFonts w:ascii="Arial" w:hAnsi="Arial" w:cs="Arial"/>
          <w:sz w:val="22"/>
          <w:szCs w:val="22"/>
        </w:rPr>
        <w:lastRenderedPageBreak/>
        <w:t xml:space="preserve">WACC represents the average rate at which BP expects to fund its operations, considering both equity and debt costs (Damodaran, 2021). It serves as a crucial discount rate for assessing future cash flows and the sustainability of BP's acquisition of TA. A favorable WACC indicates cost efficiency and helps determine if TA's expected returns will exceed BP's capital costs (Brigham </w:t>
      </w:r>
      <w:r w:rsidR="006B6010" w:rsidRPr="008B544C">
        <w:rPr>
          <w:rFonts w:ascii="Arial" w:hAnsi="Arial" w:cs="Arial"/>
          <w:sz w:val="22"/>
          <w:szCs w:val="22"/>
        </w:rPr>
        <w:t>and</w:t>
      </w:r>
      <w:r w:rsidR="006A3094" w:rsidRPr="008B544C">
        <w:rPr>
          <w:rFonts w:ascii="Arial" w:hAnsi="Arial" w:cs="Arial"/>
          <w:sz w:val="22"/>
          <w:szCs w:val="22"/>
        </w:rPr>
        <w:t xml:space="preserve"> </w:t>
      </w:r>
      <w:r w:rsidRPr="008B544C">
        <w:rPr>
          <w:rFonts w:ascii="Arial" w:hAnsi="Arial" w:cs="Arial"/>
          <w:sz w:val="22"/>
          <w:szCs w:val="22"/>
        </w:rPr>
        <w:t xml:space="preserve"> Ehrhardt, 2016).</w:t>
      </w:r>
    </w:p>
    <w:p w14:paraId="3653AC8D" w14:textId="77777777" w:rsidR="008C5507" w:rsidRPr="008B544C" w:rsidRDefault="008C5507" w:rsidP="00FE731B">
      <w:pPr>
        <w:spacing w:line="360" w:lineRule="auto"/>
        <w:rPr>
          <w:rFonts w:ascii="Arial" w:hAnsi="Arial" w:cs="Arial"/>
          <w:sz w:val="22"/>
          <w:szCs w:val="22"/>
        </w:rPr>
      </w:pPr>
    </w:p>
    <w:p w14:paraId="78A7C0CE" w14:textId="0483A658" w:rsidR="000F216A" w:rsidRPr="008B544C" w:rsidRDefault="008C5507" w:rsidP="00FE731B">
      <w:pPr>
        <w:spacing w:line="360" w:lineRule="auto"/>
        <w:rPr>
          <w:rFonts w:ascii="Arial" w:hAnsi="Arial" w:cs="Arial"/>
          <w:b/>
          <w:bCs/>
          <w:sz w:val="22"/>
          <w:szCs w:val="22"/>
        </w:rPr>
      </w:pPr>
      <w:r w:rsidRPr="008B544C">
        <w:rPr>
          <w:rFonts w:ascii="Arial" w:hAnsi="Arial" w:cs="Arial"/>
          <w:b/>
          <w:bCs/>
          <w:sz w:val="22"/>
          <w:szCs w:val="22"/>
        </w:rPr>
        <w:t xml:space="preserve">2.0 </w:t>
      </w:r>
      <w:r w:rsidR="000F216A" w:rsidRPr="008B544C">
        <w:rPr>
          <w:rFonts w:ascii="Arial" w:hAnsi="Arial" w:cs="Arial"/>
          <w:b/>
          <w:bCs/>
          <w:sz w:val="22"/>
          <w:szCs w:val="22"/>
        </w:rPr>
        <w:t>Business Valuation</w:t>
      </w:r>
    </w:p>
    <w:p w14:paraId="6492F5A5" w14:textId="1FAD62AF" w:rsidR="000227CF" w:rsidRPr="008B544C" w:rsidRDefault="00AC6C7F" w:rsidP="00FE731B">
      <w:pPr>
        <w:spacing w:line="360" w:lineRule="auto"/>
        <w:rPr>
          <w:rFonts w:ascii="Arial" w:hAnsi="Arial" w:cs="Arial"/>
          <w:b/>
          <w:bCs/>
          <w:sz w:val="22"/>
          <w:szCs w:val="22"/>
        </w:rPr>
      </w:pPr>
      <w:r w:rsidRPr="008B544C">
        <w:rPr>
          <w:rFonts w:ascii="Arial" w:hAnsi="Arial" w:cs="Arial"/>
          <w:b/>
          <w:bCs/>
          <w:sz w:val="22"/>
          <w:szCs w:val="22"/>
        </w:rPr>
        <w:t xml:space="preserve"> 2.1 </w:t>
      </w:r>
      <w:r w:rsidR="000227CF" w:rsidRPr="008B544C">
        <w:rPr>
          <w:rFonts w:ascii="Arial" w:hAnsi="Arial" w:cs="Arial"/>
          <w:b/>
          <w:bCs/>
          <w:sz w:val="22"/>
          <w:szCs w:val="22"/>
        </w:rPr>
        <w:t>Benefits and Risks of BP's Acquisition of TA</w:t>
      </w:r>
    </w:p>
    <w:p w14:paraId="74E6ACE8" w14:textId="43421B96" w:rsidR="000227CF" w:rsidRPr="008B544C" w:rsidRDefault="000227CF" w:rsidP="00FE731B">
      <w:pPr>
        <w:spacing w:line="360" w:lineRule="auto"/>
        <w:rPr>
          <w:rFonts w:ascii="Arial" w:hAnsi="Arial" w:cs="Arial"/>
          <w:b/>
          <w:bCs/>
          <w:sz w:val="22"/>
          <w:szCs w:val="22"/>
        </w:rPr>
      </w:pPr>
    </w:p>
    <w:p w14:paraId="508424AF" w14:textId="472B7BCA" w:rsidR="000227CF" w:rsidRPr="008B544C" w:rsidRDefault="000227CF" w:rsidP="00FE731B">
      <w:pPr>
        <w:numPr>
          <w:ilvl w:val="0"/>
          <w:numId w:val="21"/>
        </w:numPr>
        <w:spacing w:line="360" w:lineRule="auto"/>
        <w:rPr>
          <w:rFonts w:ascii="Arial" w:hAnsi="Arial" w:cs="Arial"/>
          <w:sz w:val="22"/>
          <w:szCs w:val="22"/>
        </w:rPr>
      </w:pPr>
      <w:r w:rsidRPr="008B544C">
        <w:rPr>
          <w:rFonts w:ascii="Arial" w:hAnsi="Arial" w:cs="Arial"/>
          <w:b/>
          <w:bCs/>
          <w:sz w:val="22"/>
          <w:szCs w:val="22"/>
        </w:rPr>
        <w:t>Increased Liquidity</w:t>
      </w:r>
      <w:r w:rsidRPr="008B544C">
        <w:rPr>
          <w:rFonts w:ascii="Arial" w:hAnsi="Arial" w:cs="Arial"/>
          <w:sz w:val="22"/>
          <w:szCs w:val="22"/>
        </w:rPr>
        <w:t xml:space="preserve">: BP's strong liquidity positions it well to manage the debt incurred from the TA acquisition, facilitating future strategic investments (Graham </w:t>
      </w:r>
      <w:r w:rsidR="006A3094" w:rsidRPr="008B544C">
        <w:rPr>
          <w:rFonts w:ascii="Arial" w:hAnsi="Arial" w:cs="Arial"/>
          <w:sz w:val="22"/>
          <w:szCs w:val="22"/>
        </w:rPr>
        <w:t>and</w:t>
      </w:r>
      <w:r w:rsidRPr="008B544C">
        <w:rPr>
          <w:rFonts w:ascii="Arial" w:hAnsi="Arial" w:cs="Arial"/>
          <w:sz w:val="22"/>
          <w:szCs w:val="22"/>
        </w:rPr>
        <w:t xml:space="preserve"> Harvey, 2001).</w:t>
      </w:r>
    </w:p>
    <w:p w14:paraId="788036B2" w14:textId="77777777" w:rsidR="000227CF" w:rsidRPr="008B544C" w:rsidRDefault="000227CF" w:rsidP="00FE731B">
      <w:pPr>
        <w:numPr>
          <w:ilvl w:val="0"/>
          <w:numId w:val="21"/>
        </w:numPr>
        <w:spacing w:line="360" w:lineRule="auto"/>
        <w:rPr>
          <w:rFonts w:ascii="Arial" w:hAnsi="Arial" w:cs="Arial"/>
          <w:sz w:val="22"/>
          <w:szCs w:val="22"/>
        </w:rPr>
      </w:pPr>
      <w:r w:rsidRPr="008B544C">
        <w:rPr>
          <w:rFonts w:ascii="Arial" w:hAnsi="Arial" w:cs="Arial"/>
          <w:b/>
          <w:bCs/>
          <w:sz w:val="22"/>
          <w:szCs w:val="22"/>
        </w:rPr>
        <w:t>Increased Debt Load</w:t>
      </w:r>
      <w:r w:rsidRPr="008B544C">
        <w:rPr>
          <w:rFonts w:ascii="Arial" w:hAnsi="Arial" w:cs="Arial"/>
          <w:sz w:val="22"/>
          <w:szCs w:val="22"/>
        </w:rPr>
        <w:t>: The acquisition introduces new debt commitments, potentially raising BP's debt expenses. However, BP's solid cash position aids in managing this additional debt. The cost of debt decreased from 1.35% in 2021 to 1.19% in 2022, thereby reducing overall capital costs (Brealey et al., 2017).</w:t>
      </w:r>
    </w:p>
    <w:p w14:paraId="69BF44CC" w14:textId="02B93255" w:rsidR="000227CF" w:rsidRPr="008B544C" w:rsidRDefault="000227CF" w:rsidP="00FE731B">
      <w:pPr>
        <w:numPr>
          <w:ilvl w:val="0"/>
          <w:numId w:val="21"/>
        </w:numPr>
        <w:spacing w:line="360" w:lineRule="auto"/>
        <w:rPr>
          <w:rFonts w:ascii="Arial" w:hAnsi="Arial" w:cs="Arial"/>
          <w:sz w:val="22"/>
          <w:szCs w:val="22"/>
        </w:rPr>
      </w:pPr>
      <w:r w:rsidRPr="008B544C">
        <w:rPr>
          <w:rFonts w:ascii="Arial" w:hAnsi="Arial" w:cs="Arial"/>
          <w:b/>
          <w:bCs/>
          <w:sz w:val="22"/>
          <w:szCs w:val="22"/>
        </w:rPr>
        <w:t>Rising WACC</w:t>
      </w:r>
      <w:r w:rsidRPr="008B544C">
        <w:rPr>
          <w:rFonts w:ascii="Arial" w:hAnsi="Arial" w:cs="Arial"/>
          <w:sz w:val="22"/>
          <w:szCs w:val="22"/>
        </w:rPr>
        <w:t xml:space="preserve">: A greater reliance on equity financing may increase TA's WACC from 1.88% in 2021 to 2.5% in 2025, which could impact the attractiveness of future investments (Modigliani </w:t>
      </w:r>
      <w:r w:rsidR="00D40571" w:rsidRPr="008B544C">
        <w:rPr>
          <w:rFonts w:ascii="Arial" w:hAnsi="Arial" w:cs="Arial"/>
          <w:sz w:val="22"/>
          <w:szCs w:val="22"/>
        </w:rPr>
        <w:t>and</w:t>
      </w:r>
      <w:r w:rsidRPr="008B544C">
        <w:rPr>
          <w:rFonts w:ascii="Arial" w:hAnsi="Arial" w:cs="Arial"/>
          <w:sz w:val="22"/>
          <w:szCs w:val="22"/>
        </w:rPr>
        <w:t xml:space="preserve"> Miller, 1958).</w:t>
      </w:r>
    </w:p>
    <w:p w14:paraId="69BF22F1" w14:textId="77777777" w:rsidR="000227CF" w:rsidRPr="008B544C" w:rsidRDefault="000227CF" w:rsidP="00FE731B">
      <w:pPr>
        <w:numPr>
          <w:ilvl w:val="0"/>
          <w:numId w:val="21"/>
        </w:numPr>
        <w:spacing w:line="360" w:lineRule="auto"/>
        <w:rPr>
          <w:rFonts w:ascii="Arial" w:hAnsi="Arial" w:cs="Arial"/>
          <w:sz w:val="22"/>
          <w:szCs w:val="22"/>
        </w:rPr>
      </w:pPr>
      <w:r w:rsidRPr="008B544C">
        <w:rPr>
          <w:rFonts w:ascii="Arial" w:hAnsi="Arial" w:cs="Arial"/>
          <w:b/>
          <w:bCs/>
          <w:sz w:val="22"/>
          <w:szCs w:val="22"/>
        </w:rPr>
        <w:t>Regulatory and Tax Implications</w:t>
      </w:r>
      <w:r w:rsidRPr="008B544C">
        <w:rPr>
          <w:rFonts w:ascii="Arial" w:hAnsi="Arial" w:cs="Arial"/>
          <w:sz w:val="22"/>
          <w:szCs w:val="22"/>
        </w:rPr>
        <w:t>: Changes in regulatory and tax legislation could adversely affect BP's financial performance, particularly with the tax rate increase in 2023 (Malone et al., 2010).</w:t>
      </w:r>
    </w:p>
    <w:p w14:paraId="7F4C3403" w14:textId="64AC79C6" w:rsidR="000227CF" w:rsidRPr="008B544C" w:rsidRDefault="000227CF" w:rsidP="00FE731B">
      <w:pPr>
        <w:spacing w:line="360" w:lineRule="auto"/>
        <w:rPr>
          <w:rFonts w:ascii="Arial" w:hAnsi="Arial" w:cs="Arial"/>
          <w:sz w:val="22"/>
          <w:szCs w:val="22"/>
        </w:rPr>
      </w:pPr>
    </w:p>
    <w:p w14:paraId="159C3980" w14:textId="3D1074D7" w:rsidR="000227CF" w:rsidRPr="008B544C" w:rsidRDefault="000227CF" w:rsidP="00FE731B">
      <w:pPr>
        <w:spacing w:line="360" w:lineRule="auto"/>
        <w:rPr>
          <w:rFonts w:ascii="Arial" w:hAnsi="Arial" w:cs="Arial"/>
          <w:b/>
          <w:bCs/>
          <w:sz w:val="22"/>
          <w:szCs w:val="22"/>
        </w:rPr>
      </w:pPr>
      <w:r w:rsidRPr="008B544C">
        <w:rPr>
          <w:rFonts w:ascii="Arial" w:hAnsi="Arial" w:cs="Arial"/>
          <w:sz w:val="22"/>
          <w:szCs w:val="22"/>
        </w:rPr>
        <w:t xml:space="preserve">       </w:t>
      </w:r>
      <w:r w:rsidR="00AC6C7F" w:rsidRPr="008B544C">
        <w:rPr>
          <w:rFonts w:ascii="Arial" w:hAnsi="Arial" w:cs="Arial"/>
          <w:sz w:val="22"/>
          <w:szCs w:val="22"/>
        </w:rPr>
        <w:t>2.2</w:t>
      </w:r>
      <w:r w:rsidRPr="008B544C">
        <w:rPr>
          <w:rFonts w:ascii="Arial" w:hAnsi="Arial" w:cs="Arial"/>
          <w:sz w:val="22"/>
          <w:szCs w:val="22"/>
        </w:rPr>
        <w:t xml:space="preserve">     </w:t>
      </w:r>
      <w:r w:rsidRPr="008B544C">
        <w:rPr>
          <w:rFonts w:ascii="Arial" w:hAnsi="Arial" w:cs="Arial"/>
          <w:b/>
          <w:bCs/>
          <w:sz w:val="22"/>
          <w:szCs w:val="22"/>
        </w:rPr>
        <w:t>Key Assumptions for Cost of Capital (WACC)</w:t>
      </w:r>
    </w:p>
    <w:p w14:paraId="255691CF" w14:textId="2B73F0E0" w:rsidR="000227CF" w:rsidRPr="008B544C" w:rsidRDefault="000227CF" w:rsidP="00FE731B">
      <w:pPr>
        <w:spacing w:line="360" w:lineRule="auto"/>
        <w:rPr>
          <w:rFonts w:ascii="Arial" w:hAnsi="Arial" w:cs="Arial"/>
          <w:sz w:val="22"/>
          <w:szCs w:val="22"/>
        </w:rPr>
      </w:pPr>
      <w:r w:rsidRPr="008B544C">
        <w:rPr>
          <w:rFonts w:ascii="Arial" w:hAnsi="Arial" w:cs="Arial"/>
          <w:sz w:val="22"/>
          <w:szCs w:val="22"/>
        </w:rPr>
        <w:t xml:space="preserve">This analysis evaluates key assumptions regarding TA's financial implications and BP's long-term viability. The cost of debt remains stable at 1.19% due to favorable market conditions and BP's improved credit rating (Wruck </w:t>
      </w:r>
      <w:r w:rsidR="00D40571" w:rsidRPr="008B544C">
        <w:rPr>
          <w:rFonts w:ascii="Arial" w:hAnsi="Arial" w:cs="Arial"/>
          <w:sz w:val="22"/>
          <w:szCs w:val="22"/>
        </w:rPr>
        <w:t>and</w:t>
      </w:r>
      <w:r w:rsidRPr="008B544C">
        <w:rPr>
          <w:rFonts w:ascii="Arial" w:hAnsi="Arial" w:cs="Arial"/>
          <w:sz w:val="22"/>
          <w:szCs w:val="22"/>
        </w:rPr>
        <w:t xml:space="preserve"> Jensen, 1994).</w:t>
      </w:r>
    </w:p>
    <w:p w14:paraId="05246F6B" w14:textId="77777777" w:rsidR="000227CF" w:rsidRPr="008B544C" w:rsidRDefault="000227CF" w:rsidP="00FE731B">
      <w:pPr>
        <w:spacing w:line="360" w:lineRule="auto"/>
        <w:rPr>
          <w:rFonts w:ascii="Arial" w:hAnsi="Arial" w:cs="Arial"/>
          <w:b/>
          <w:bCs/>
          <w:sz w:val="22"/>
          <w:szCs w:val="22"/>
        </w:rPr>
      </w:pPr>
      <w:r w:rsidRPr="008B544C">
        <w:rPr>
          <w:rFonts w:ascii="Arial" w:hAnsi="Arial" w:cs="Arial"/>
          <w:b/>
          <w:bCs/>
          <w:sz w:val="22"/>
          <w:szCs w:val="22"/>
        </w:rPr>
        <w:t>Cost of Equity</w:t>
      </w:r>
    </w:p>
    <w:p w14:paraId="61D31EB5" w14:textId="3426A803" w:rsidR="000227CF" w:rsidRPr="008B544C" w:rsidRDefault="000227CF" w:rsidP="00FE731B">
      <w:pPr>
        <w:spacing w:line="360" w:lineRule="auto"/>
        <w:rPr>
          <w:rFonts w:ascii="Arial" w:hAnsi="Arial" w:cs="Arial"/>
          <w:sz w:val="22"/>
          <w:szCs w:val="22"/>
        </w:rPr>
      </w:pPr>
      <w:r w:rsidRPr="008B544C">
        <w:rPr>
          <w:rFonts w:ascii="Arial" w:hAnsi="Arial" w:cs="Arial"/>
          <w:sz w:val="22"/>
          <w:szCs w:val="22"/>
        </w:rPr>
        <w:t xml:space="preserve">The estimated cost of equity for BP is 5.2%, reflecting expected returns for investors based on BP's risk profile (Fama </w:t>
      </w:r>
      <w:r w:rsidR="003D3FAF" w:rsidRPr="008B544C">
        <w:rPr>
          <w:rFonts w:ascii="Arial" w:hAnsi="Arial" w:cs="Arial"/>
          <w:sz w:val="22"/>
          <w:szCs w:val="22"/>
        </w:rPr>
        <w:t>and</w:t>
      </w:r>
      <w:r w:rsidRPr="008B544C">
        <w:rPr>
          <w:rFonts w:ascii="Arial" w:hAnsi="Arial" w:cs="Arial"/>
          <w:sz w:val="22"/>
          <w:szCs w:val="22"/>
        </w:rPr>
        <w:t xml:space="preserve"> French, 2004). The acquisition of TA presents strategic benefits, including increased cash flow, enhanced market presence, and potential cost </w:t>
      </w:r>
      <w:r w:rsidRPr="008B544C">
        <w:rPr>
          <w:rFonts w:ascii="Arial" w:hAnsi="Arial" w:cs="Arial"/>
          <w:sz w:val="22"/>
          <w:szCs w:val="22"/>
        </w:rPr>
        <w:lastRenderedPageBreak/>
        <w:t xml:space="preserve">efficiencies. However, BP must navigate rising WACC and operational integration risks to maintain financial stability and growth (Brigham </w:t>
      </w:r>
      <w:r w:rsidR="003D3FAF" w:rsidRPr="008B544C">
        <w:rPr>
          <w:rFonts w:ascii="Arial" w:hAnsi="Arial" w:cs="Arial"/>
          <w:sz w:val="22"/>
          <w:szCs w:val="22"/>
        </w:rPr>
        <w:t>and</w:t>
      </w:r>
      <w:r w:rsidRPr="008B544C">
        <w:rPr>
          <w:rFonts w:ascii="Arial" w:hAnsi="Arial" w:cs="Arial"/>
          <w:sz w:val="22"/>
          <w:szCs w:val="22"/>
        </w:rPr>
        <w:t xml:space="preserve"> Ehrhardt, 2016).</w:t>
      </w:r>
    </w:p>
    <w:p w14:paraId="624CA859" w14:textId="77777777" w:rsidR="00E06B2A" w:rsidRPr="008B544C" w:rsidRDefault="00E06B2A" w:rsidP="00FE731B">
      <w:pPr>
        <w:spacing w:line="360" w:lineRule="auto"/>
        <w:rPr>
          <w:rFonts w:ascii="Arial" w:hAnsi="Arial" w:cs="Arial"/>
          <w:sz w:val="22"/>
          <w:szCs w:val="22"/>
        </w:rPr>
      </w:pPr>
    </w:p>
    <w:p w14:paraId="783EFE1E" w14:textId="2FA1BA88" w:rsidR="00E06B2A" w:rsidRPr="008B544C" w:rsidRDefault="000D05B0" w:rsidP="00FE731B">
      <w:pPr>
        <w:spacing w:line="360" w:lineRule="auto"/>
        <w:rPr>
          <w:rFonts w:ascii="Arial" w:hAnsi="Arial" w:cs="Arial"/>
          <w:sz w:val="22"/>
          <w:szCs w:val="22"/>
        </w:rPr>
      </w:pPr>
      <w:r w:rsidRPr="008B544C">
        <w:rPr>
          <w:rFonts w:ascii="Arial" w:hAnsi="Arial" w:cs="Arial"/>
          <w:b/>
          <w:bCs/>
          <w:sz w:val="22"/>
          <w:szCs w:val="22"/>
        </w:rPr>
        <w:t xml:space="preserve">2.3 </w:t>
      </w:r>
      <w:r w:rsidR="00E06B2A" w:rsidRPr="008B544C">
        <w:rPr>
          <w:rFonts w:ascii="Arial" w:hAnsi="Arial" w:cs="Arial"/>
          <w:b/>
          <w:bCs/>
          <w:sz w:val="22"/>
          <w:szCs w:val="22"/>
        </w:rPr>
        <w:t>Calculating the equity value and business valuation</w:t>
      </w:r>
      <w:r w:rsidR="00E06B2A" w:rsidRPr="008B544C">
        <w:rPr>
          <w:rFonts w:ascii="Arial" w:hAnsi="Arial" w:cs="Arial"/>
          <w:sz w:val="22"/>
          <w:szCs w:val="22"/>
        </w:rPr>
        <w:br/>
        <w:t>This section does a detailed business appraisal of TA Centers to determine its equity worth under the ownership of BP Plc. The research includes an assessment of current financial performance, adjustments for acquisition-related synergies, and a justification of the bid price using the Discounted Cash Flow (DCF) methodology.</w:t>
      </w:r>
    </w:p>
    <w:p w14:paraId="51A269E7" w14:textId="77777777" w:rsidR="00E129A4" w:rsidRPr="008B544C" w:rsidRDefault="00E06B2A" w:rsidP="00FE731B">
      <w:pPr>
        <w:spacing w:line="360" w:lineRule="auto"/>
        <w:rPr>
          <w:rFonts w:ascii="Arial" w:hAnsi="Arial" w:cs="Arial"/>
          <w:sz w:val="22"/>
          <w:szCs w:val="22"/>
        </w:rPr>
      </w:pPr>
      <w:r w:rsidRPr="008B544C">
        <w:rPr>
          <w:rFonts w:ascii="Arial" w:hAnsi="Arial" w:cs="Arial"/>
          <w:sz w:val="22"/>
          <w:szCs w:val="22"/>
        </w:rPr>
        <w:t>The valuation incorporates updated financial assumptions, tax rates, and revised equity and debt costs, thereby improving the accuracy of the analysis (Damodaran, 2012). Detailed spreadsheets, including formulas and assumptions, will support the valuation process</w:t>
      </w:r>
    </w:p>
    <w:p w14:paraId="6174299C" w14:textId="77777777" w:rsidR="00E129A4" w:rsidRPr="008B544C" w:rsidRDefault="00E129A4" w:rsidP="00FE731B">
      <w:pPr>
        <w:spacing w:line="360" w:lineRule="auto"/>
        <w:rPr>
          <w:rFonts w:ascii="Arial" w:hAnsi="Arial" w:cs="Arial"/>
          <w:sz w:val="22"/>
          <w:szCs w:val="22"/>
        </w:rPr>
      </w:pPr>
    </w:p>
    <w:p w14:paraId="406D1E9D" w14:textId="6F7AC908" w:rsidR="00E129A4" w:rsidRPr="008B544C" w:rsidRDefault="00E129A4" w:rsidP="0079638B">
      <w:pPr>
        <w:spacing w:line="360" w:lineRule="auto"/>
        <w:rPr>
          <w:rFonts w:ascii="Arial" w:hAnsi="Arial" w:cs="Arial"/>
          <w:b/>
          <w:bCs/>
          <w:sz w:val="22"/>
          <w:szCs w:val="22"/>
        </w:rPr>
      </w:pPr>
      <w:r w:rsidRPr="008B544C">
        <w:rPr>
          <w:rFonts w:ascii="Arial" w:hAnsi="Arial" w:cs="Arial"/>
          <w:b/>
          <w:bCs/>
          <w:sz w:val="22"/>
          <w:szCs w:val="22"/>
        </w:rPr>
        <w:t>Free Cash Flow Valuation</w:t>
      </w:r>
    </w:p>
    <w:p w14:paraId="353C37D1" w14:textId="77777777" w:rsidR="00E129A4" w:rsidRPr="008B544C" w:rsidRDefault="00E129A4" w:rsidP="00FE731B">
      <w:pPr>
        <w:spacing w:line="360" w:lineRule="auto"/>
        <w:rPr>
          <w:rFonts w:ascii="Arial" w:hAnsi="Arial" w:cs="Arial"/>
          <w:sz w:val="22"/>
          <w:szCs w:val="22"/>
        </w:rPr>
      </w:pPr>
      <w:r w:rsidRPr="008B544C">
        <w:rPr>
          <w:rFonts w:ascii="Arial" w:hAnsi="Arial" w:cs="Arial"/>
          <w:sz w:val="22"/>
          <w:szCs w:val="22"/>
        </w:rPr>
        <w:t>Free Cash Flow to the Firm (FCFF) is a critical financial metric that quantifies the cash generated by a company's operations that is available to all capital providers, excluding financing expenses. This metric is essential for evaluating long-term value creation and operational efficiency (Koller et al., 2020). The valuation process emphasizes cash flow predictions, integrating factors such as revenue growth, operating margins, capital expenditures, and appropriate discount rates.</w:t>
      </w:r>
    </w:p>
    <w:p w14:paraId="62360B0A"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Valuation Scenarios</w:t>
      </w:r>
    </w:p>
    <w:p w14:paraId="4E526EBA" w14:textId="77777777" w:rsidR="00E129A4" w:rsidRPr="008B544C" w:rsidRDefault="00E129A4" w:rsidP="00FE731B">
      <w:pPr>
        <w:spacing w:line="360" w:lineRule="auto"/>
        <w:rPr>
          <w:rFonts w:ascii="Arial" w:hAnsi="Arial" w:cs="Arial"/>
          <w:sz w:val="22"/>
          <w:szCs w:val="22"/>
        </w:rPr>
      </w:pPr>
      <w:r w:rsidRPr="008B544C">
        <w:rPr>
          <w:rFonts w:ascii="Arial" w:hAnsi="Arial" w:cs="Arial"/>
          <w:sz w:val="22"/>
          <w:szCs w:val="22"/>
        </w:rPr>
        <w:t>The analysis of TA's valuation encompasses three distinct scenarios—achieved performance, forecasted performance, and a soft landing scenario—both prior to and following BP's acquisition. Historical financial data from 2020 to 2022 serves as the foundation for projecting future performance through 2027, with key assumptions regarding the risk-free rate, market risk premium, corporate tax rate, and perpetuity growth rate (Koller et al., 2020).</w:t>
      </w:r>
    </w:p>
    <w:p w14:paraId="4B6EA538"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Financial Performance Overview (2020-2030)</w:t>
      </w:r>
    </w:p>
    <w:p w14:paraId="6EC53267" w14:textId="77777777" w:rsidR="00E129A4" w:rsidRPr="008B544C" w:rsidRDefault="00E129A4" w:rsidP="00FE731B">
      <w:pPr>
        <w:numPr>
          <w:ilvl w:val="0"/>
          <w:numId w:val="15"/>
        </w:numPr>
        <w:spacing w:line="360" w:lineRule="auto"/>
        <w:rPr>
          <w:rFonts w:ascii="Arial" w:hAnsi="Arial" w:cs="Arial"/>
          <w:sz w:val="22"/>
          <w:szCs w:val="22"/>
        </w:rPr>
      </w:pPr>
      <w:r w:rsidRPr="008B544C">
        <w:rPr>
          <w:rFonts w:ascii="Arial" w:hAnsi="Arial" w:cs="Arial"/>
          <w:b/>
          <w:bCs/>
          <w:sz w:val="22"/>
          <w:szCs w:val="22"/>
        </w:rPr>
        <w:t>Achieved Performance (2020-2022)</w:t>
      </w:r>
      <w:r w:rsidRPr="008B544C">
        <w:rPr>
          <w:rFonts w:ascii="Arial" w:hAnsi="Arial" w:cs="Arial"/>
          <w:sz w:val="22"/>
          <w:szCs w:val="22"/>
        </w:rPr>
        <w:t>:</w:t>
      </w:r>
    </w:p>
    <w:p w14:paraId="1E2B8A30"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Revenue increased from $4.85 billion in 2020 to $10.84 billion in 2022, reflecting a compound annual growth rate (CAGR) of 3.5%.</w:t>
      </w:r>
    </w:p>
    <w:p w14:paraId="07611527"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Earnings Before Interest and Taxes (EBIT) rose from $10.77 million to $252.89 million, bolstered by enhanced operational efficiencies.</w:t>
      </w:r>
    </w:p>
    <w:p w14:paraId="3275381C"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lastRenderedPageBreak/>
        <w:t>Notably, depreciation and amortization expenses declined as a percentage of sales, indicating improved asset utilization.</w:t>
      </w:r>
    </w:p>
    <w:p w14:paraId="55F653D3" w14:textId="77777777" w:rsidR="00E129A4" w:rsidRPr="008B544C" w:rsidRDefault="00E129A4" w:rsidP="00FE731B">
      <w:pPr>
        <w:numPr>
          <w:ilvl w:val="0"/>
          <w:numId w:val="15"/>
        </w:numPr>
        <w:spacing w:line="360" w:lineRule="auto"/>
        <w:rPr>
          <w:rFonts w:ascii="Arial" w:hAnsi="Arial" w:cs="Arial"/>
          <w:sz w:val="22"/>
          <w:szCs w:val="22"/>
        </w:rPr>
      </w:pPr>
      <w:r w:rsidRPr="008B544C">
        <w:rPr>
          <w:rFonts w:ascii="Arial" w:hAnsi="Arial" w:cs="Arial"/>
          <w:b/>
          <w:bCs/>
          <w:sz w:val="22"/>
          <w:szCs w:val="22"/>
        </w:rPr>
        <w:t>Estimated Performance (2023-2025)</w:t>
      </w:r>
      <w:r w:rsidRPr="008B544C">
        <w:rPr>
          <w:rFonts w:ascii="Arial" w:hAnsi="Arial" w:cs="Arial"/>
          <w:sz w:val="22"/>
          <w:szCs w:val="22"/>
        </w:rPr>
        <w:t>:</w:t>
      </w:r>
    </w:p>
    <w:p w14:paraId="65FAB4B2"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Sales are projected to continue growing at a rate of 3.5%, reaching approximately $12.03 billion by 2025 (Smith, 2023).</w:t>
      </w:r>
    </w:p>
    <w:p w14:paraId="5DF2F1D8"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EBIT margins are expected to stabilize at around 2.3%, reflecting ongoing operational success.</w:t>
      </w:r>
    </w:p>
    <w:p w14:paraId="4C34DBDC"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Free cash flow is forecasted to range from $797 million in 2023 to $857 million in 2025.</w:t>
      </w:r>
    </w:p>
    <w:p w14:paraId="22E37272" w14:textId="77777777" w:rsidR="00E129A4" w:rsidRPr="008B544C" w:rsidRDefault="00E129A4" w:rsidP="00FE731B">
      <w:pPr>
        <w:numPr>
          <w:ilvl w:val="0"/>
          <w:numId w:val="15"/>
        </w:numPr>
        <w:spacing w:line="360" w:lineRule="auto"/>
        <w:rPr>
          <w:rFonts w:ascii="Arial" w:hAnsi="Arial" w:cs="Arial"/>
          <w:sz w:val="22"/>
          <w:szCs w:val="22"/>
        </w:rPr>
      </w:pPr>
      <w:r w:rsidRPr="008B544C">
        <w:rPr>
          <w:rFonts w:ascii="Arial" w:hAnsi="Arial" w:cs="Arial"/>
          <w:b/>
          <w:bCs/>
          <w:sz w:val="22"/>
          <w:szCs w:val="22"/>
        </w:rPr>
        <w:t>Long-Term Projections (2026-2030)</w:t>
      </w:r>
      <w:r w:rsidRPr="008B544C">
        <w:rPr>
          <w:rFonts w:ascii="Arial" w:hAnsi="Arial" w:cs="Arial"/>
          <w:sz w:val="22"/>
          <w:szCs w:val="22"/>
        </w:rPr>
        <w:t>:</w:t>
      </w:r>
    </w:p>
    <w:p w14:paraId="0AAA4BFF"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Revenue growth is anticipated to persist at 3.5% annually, culminating in an estimated $14.29 billion by 2030.</w:t>
      </w:r>
    </w:p>
    <w:p w14:paraId="42321B2D"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EBIT is projected to increase to $468.89 million while maintaining a 2.3% margin.</w:t>
      </w:r>
    </w:p>
    <w:p w14:paraId="17496744" w14:textId="77777777" w:rsidR="00E129A4" w:rsidRPr="008B544C" w:rsidRDefault="00E129A4" w:rsidP="00FE731B">
      <w:pPr>
        <w:numPr>
          <w:ilvl w:val="1"/>
          <w:numId w:val="15"/>
        </w:numPr>
        <w:spacing w:line="360" w:lineRule="auto"/>
        <w:rPr>
          <w:rFonts w:ascii="Arial" w:hAnsi="Arial" w:cs="Arial"/>
          <w:sz w:val="22"/>
          <w:szCs w:val="22"/>
        </w:rPr>
      </w:pPr>
      <w:r w:rsidRPr="008B544C">
        <w:rPr>
          <w:rFonts w:ascii="Arial" w:hAnsi="Arial" w:cs="Arial"/>
          <w:sz w:val="22"/>
          <w:szCs w:val="22"/>
        </w:rPr>
        <w:t>Free cash flow is expected to exceed $1.13 billion by 2030, underscoring the company's capacity to generate consistent cash flows over the long term.</w:t>
      </w:r>
    </w:p>
    <w:p w14:paraId="760B4DFA"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Key Insights</w:t>
      </w:r>
    </w:p>
    <w:p w14:paraId="2ABB6B74" w14:textId="77777777" w:rsidR="00E129A4" w:rsidRPr="008B544C" w:rsidRDefault="00E129A4" w:rsidP="00FE731B">
      <w:pPr>
        <w:numPr>
          <w:ilvl w:val="0"/>
          <w:numId w:val="16"/>
        </w:numPr>
        <w:spacing w:line="360" w:lineRule="auto"/>
        <w:rPr>
          <w:rFonts w:ascii="Arial" w:hAnsi="Arial" w:cs="Arial"/>
          <w:sz w:val="22"/>
          <w:szCs w:val="22"/>
        </w:rPr>
      </w:pPr>
      <w:r w:rsidRPr="008B544C">
        <w:rPr>
          <w:rFonts w:ascii="Arial" w:hAnsi="Arial" w:cs="Arial"/>
          <w:b/>
          <w:bCs/>
          <w:sz w:val="22"/>
          <w:szCs w:val="22"/>
        </w:rPr>
        <w:t>Strong Financial Position</w:t>
      </w:r>
      <w:r w:rsidRPr="008B544C">
        <w:rPr>
          <w:rFonts w:ascii="Arial" w:hAnsi="Arial" w:cs="Arial"/>
          <w:sz w:val="22"/>
          <w:szCs w:val="22"/>
        </w:rPr>
        <w:t>: The projections for robust free cash flow and stable EBIT margins indicate a solid financial foundation and operational efficiency.</w:t>
      </w:r>
      <w:r w:rsidRPr="008B544C">
        <w:rPr>
          <w:rFonts w:ascii="Arial" w:hAnsi="Arial" w:cs="Arial"/>
          <w:sz w:val="22"/>
          <w:szCs w:val="22"/>
          <w:shd w:val="clear" w:color="auto" w:fill="FFFFFF"/>
        </w:rPr>
        <w:t xml:space="preserve"> </w:t>
      </w:r>
      <w:r w:rsidRPr="008B544C">
        <w:rPr>
          <w:rFonts w:ascii="Arial" w:hAnsi="Arial" w:cs="Arial"/>
          <w:sz w:val="22"/>
          <w:szCs w:val="22"/>
        </w:rPr>
        <w:t>(Anderson, 2022)</w:t>
      </w:r>
    </w:p>
    <w:p w14:paraId="73160FE3" w14:textId="77777777" w:rsidR="00E129A4" w:rsidRPr="008B544C" w:rsidRDefault="00E129A4" w:rsidP="00FE731B">
      <w:pPr>
        <w:numPr>
          <w:ilvl w:val="0"/>
          <w:numId w:val="16"/>
        </w:numPr>
        <w:spacing w:line="360" w:lineRule="auto"/>
        <w:rPr>
          <w:rFonts w:ascii="Arial" w:hAnsi="Arial" w:cs="Arial"/>
          <w:sz w:val="22"/>
          <w:szCs w:val="22"/>
        </w:rPr>
      </w:pPr>
      <w:r w:rsidRPr="008B544C">
        <w:rPr>
          <w:rFonts w:ascii="Arial" w:hAnsi="Arial" w:cs="Arial"/>
          <w:b/>
          <w:bCs/>
          <w:sz w:val="22"/>
          <w:szCs w:val="22"/>
        </w:rPr>
        <w:t>Strategic Fit</w:t>
      </w:r>
      <w:r w:rsidRPr="008B544C">
        <w:rPr>
          <w:rFonts w:ascii="Arial" w:hAnsi="Arial" w:cs="Arial"/>
          <w:sz w:val="22"/>
          <w:szCs w:val="22"/>
        </w:rPr>
        <w:t>: The acquisition aligns with BP's objectives for market expansion, enhancing its competitive position in the energy sector.</w:t>
      </w:r>
      <w:r w:rsidRPr="008B544C">
        <w:rPr>
          <w:rFonts w:ascii="Arial" w:hAnsi="Arial" w:cs="Arial"/>
          <w:sz w:val="22"/>
          <w:szCs w:val="22"/>
          <w:shd w:val="clear" w:color="auto" w:fill="FFFFFF"/>
        </w:rPr>
        <w:t xml:space="preserve"> </w:t>
      </w:r>
      <w:r w:rsidRPr="008B544C">
        <w:rPr>
          <w:rFonts w:ascii="Arial" w:hAnsi="Arial" w:cs="Arial"/>
          <w:sz w:val="22"/>
          <w:szCs w:val="22"/>
        </w:rPr>
        <w:t> (Clark, 2023)</w:t>
      </w:r>
    </w:p>
    <w:p w14:paraId="306C73FF" w14:textId="77777777" w:rsidR="00E129A4" w:rsidRPr="008B544C" w:rsidRDefault="00E129A4" w:rsidP="00FE731B">
      <w:pPr>
        <w:numPr>
          <w:ilvl w:val="0"/>
          <w:numId w:val="16"/>
        </w:numPr>
        <w:spacing w:line="360" w:lineRule="auto"/>
        <w:rPr>
          <w:rFonts w:ascii="Arial" w:hAnsi="Arial" w:cs="Arial"/>
          <w:sz w:val="22"/>
          <w:szCs w:val="22"/>
        </w:rPr>
      </w:pPr>
      <w:r w:rsidRPr="008B544C">
        <w:rPr>
          <w:rFonts w:ascii="Arial" w:hAnsi="Arial" w:cs="Arial"/>
          <w:b/>
          <w:bCs/>
          <w:sz w:val="22"/>
          <w:szCs w:val="22"/>
        </w:rPr>
        <w:t>Opportunities for Value Creation</w:t>
      </w:r>
      <w:r w:rsidRPr="008B544C">
        <w:rPr>
          <w:rFonts w:ascii="Arial" w:hAnsi="Arial" w:cs="Arial"/>
          <w:sz w:val="22"/>
          <w:szCs w:val="22"/>
        </w:rPr>
        <w:t>: Key areas for potential value creation include cost savings, operational discipline, and leveraging strategic partnerships or acquisitions for growth.</w:t>
      </w:r>
      <w:r w:rsidRPr="008B544C">
        <w:rPr>
          <w:rFonts w:ascii="Arial" w:hAnsi="Arial" w:cs="Arial"/>
          <w:sz w:val="22"/>
          <w:szCs w:val="22"/>
          <w:shd w:val="clear" w:color="auto" w:fill="FFFFFF"/>
        </w:rPr>
        <w:t xml:space="preserve"> </w:t>
      </w:r>
      <w:r w:rsidRPr="008B544C">
        <w:rPr>
          <w:rFonts w:ascii="Arial" w:hAnsi="Arial" w:cs="Arial"/>
          <w:sz w:val="22"/>
          <w:szCs w:val="22"/>
        </w:rPr>
        <w:t> (Miller, 2022).</w:t>
      </w:r>
    </w:p>
    <w:p w14:paraId="4BAAD348"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Discounted Cash Flow (DCF) Method for Business Valuation</w:t>
      </w:r>
    </w:p>
    <w:p w14:paraId="73783C3B" w14:textId="77777777" w:rsidR="00E129A4" w:rsidRPr="008B544C" w:rsidRDefault="00E129A4" w:rsidP="00FE731B">
      <w:pPr>
        <w:spacing w:line="360" w:lineRule="auto"/>
        <w:rPr>
          <w:rFonts w:ascii="Arial" w:hAnsi="Arial" w:cs="Arial"/>
          <w:sz w:val="22"/>
          <w:szCs w:val="22"/>
        </w:rPr>
      </w:pPr>
      <w:r w:rsidRPr="008B544C">
        <w:rPr>
          <w:rFonts w:ascii="Arial" w:hAnsi="Arial" w:cs="Arial"/>
          <w:sz w:val="22"/>
          <w:szCs w:val="22"/>
        </w:rPr>
        <w:t>The DCF methodology is employed to calculate a company's intrinsic value by projecting future cash flows and discounting them to their present value (Gotze, 2015). This analysis compares TA's financial performance across the three aforementioned scenarios to ascertain the company's valuation and evaluate the feasibility of the proposed bid price in relation to its future cash-generating potential.</w:t>
      </w:r>
    </w:p>
    <w:p w14:paraId="66ABA3C9"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lastRenderedPageBreak/>
        <w:t>Key Assumptions and Metrics</w:t>
      </w:r>
    </w:p>
    <w:p w14:paraId="61B735B4" w14:textId="77777777" w:rsidR="00E129A4" w:rsidRPr="008B544C" w:rsidRDefault="00E129A4" w:rsidP="00FE731B">
      <w:pPr>
        <w:numPr>
          <w:ilvl w:val="0"/>
          <w:numId w:val="17"/>
        </w:numPr>
        <w:spacing w:line="360" w:lineRule="auto"/>
        <w:rPr>
          <w:rFonts w:ascii="Arial" w:hAnsi="Arial" w:cs="Arial"/>
          <w:sz w:val="22"/>
          <w:szCs w:val="22"/>
        </w:rPr>
      </w:pPr>
      <w:r w:rsidRPr="008B544C">
        <w:rPr>
          <w:rFonts w:ascii="Arial" w:hAnsi="Arial" w:cs="Arial"/>
          <w:b/>
          <w:bCs/>
          <w:sz w:val="22"/>
          <w:szCs w:val="22"/>
        </w:rPr>
        <w:t>Free Cash Flows</w:t>
      </w:r>
      <w:r w:rsidRPr="008B544C">
        <w:rPr>
          <w:rFonts w:ascii="Arial" w:hAnsi="Arial" w:cs="Arial"/>
          <w:sz w:val="22"/>
          <w:szCs w:val="22"/>
        </w:rPr>
        <w:t>: Estimated to range between $0.8 million and $0.85 million annually.</w:t>
      </w:r>
    </w:p>
    <w:p w14:paraId="4C941281" w14:textId="77777777" w:rsidR="00E129A4" w:rsidRPr="008B544C" w:rsidRDefault="00E129A4" w:rsidP="00FE731B">
      <w:pPr>
        <w:numPr>
          <w:ilvl w:val="0"/>
          <w:numId w:val="17"/>
        </w:numPr>
        <w:spacing w:line="360" w:lineRule="auto"/>
        <w:rPr>
          <w:rFonts w:ascii="Arial" w:hAnsi="Arial" w:cs="Arial"/>
          <w:sz w:val="22"/>
          <w:szCs w:val="22"/>
        </w:rPr>
      </w:pPr>
      <w:r w:rsidRPr="008B544C">
        <w:rPr>
          <w:rFonts w:ascii="Arial" w:hAnsi="Arial" w:cs="Arial"/>
          <w:b/>
          <w:bCs/>
          <w:sz w:val="22"/>
          <w:szCs w:val="22"/>
        </w:rPr>
        <w:t>Sales Growth (Soft Landing Scenario 2026-2030)</w:t>
      </w:r>
      <w:r w:rsidRPr="008B544C">
        <w:rPr>
          <w:rFonts w:ascii="Arial" w:hAnsi="Arial" w:cs="Arial"/>
          <w:sz w:val="22"/>
          <w:szCs w:val="22"/>
        </w:rPr>
        <w:t>: Anticipated to increase by 3.5%, reaching approximately $14.28 million from $12.44 million.</w:t>
      </w:r>
    </w:p>
    <w:p w14:paraId="6796D014" w14:textId="77777777" w:rsidR="00E129A4" w:rsidRPr="008B544C" w:rsidRDefault="00E129A4" w:rsidP="00FE731B">
      <w:pPr>
        <w:numPr>
          <w:ilvl w:val="0"/>
          <w:numId w:val="17"/>
        </w:numPr>
        <w:spacing w:line="360" w:lineRule="auto"/>
        <w:rPr>
          <w:rFonts w:ascii="Arial" w:hAnsi="Arial" w:cs="Arial"/>
          <w:sz w:val="22"/>
          <w:szCs w:val="22"/>
        </w:rPr>
      </w:pPr>
      <w:r w:rsidRPr="008B544C">
        <w:rPr>
          <w:rFonts w:ascii="Arial" w:hAnsi="Arial" w:cs="Arial"/>
          <w:b/>
          <w:bCs/>
          <w:sz w:val="22"/>
          <w:szCs w:val="22"/>
        </w:rPr>
        <w:t>Free Cash Flow Projection</w:t>
      </w:r>
      <w:r w:rsidRPr="008B544C">
        <w:rPr>
          <w:rFonts w:ascii="Arial" w:hAnsi="Arial" w:cs="Arial"/>
          <w:sz w:val="22"/>
          <w:szCs w:val="22"/>
        </w:rPr>
        <w:t>: Expected to exceed $1.13 million by 2030, discounted to a present value of $927,000.</w:t>
      </w:r>
    </w:p>
    <w:p w14:paraId="1FB97AB7"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Terminal Value Impact</w:t>
      </w:r>
    </w:p>
    <w:p w14:paraId="29A58417" w14:textId="77777777" w:rsidR="00E129A4" w:rsidRPr="008B544C" w:rsidRDefault="00E129A4" w:rsidP="00FE731B">
      <w:pPr>
        <w:spacing w:line="360" w:lineRule="auto"/>
        <w:rPr>
          <w:rFonts w:ascii="Arial" w:hAnsi="Arial" w:cs="Arial"/>
          <w:sz w:val="22"/>
          <w:szCs w:val="22"/>
        </w:rPr>
      </w:pPr>
      <w:r w:rsidRPr="008B544C">
        <w:rPr>
          <w:rFonts w:ascii="Arial" w:hAnsi="Arial" w:cs="Arial"/>
          <w:sz w:val="22"/>
          <w:szCs w:val="22"/>
        </w:rPr>
        <w:t>The terminal value plays a crucial role in the overall valuation, influenced by factors such as the expected perpetual growth rate and discount rates (Smith, 2023).</w:t>
      </w:r>
    </w:p>
    <w:p w14:paraId="4DC93661"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Negative Equity Value</w:t>
      </w:r>
    </w:p>
    <w:p w14:paraId="3B3800C7" w14:textId="77777777" w:rsidR="00E129A4" w:rsidRPr="008B544C" w:rsidRDefault="00E129A4" w:rsidP="00FE731B">
      <w:pPr>
        <w:spacing w:line="360" w:lineRule="auto"/>
        <w:rPr>
          <w:rFonts w:ascii="Arial" w:hAnsi="Arial" w:cs="Arial"/>
          <w:sz w:val="22"/>
          <w:szCs w:val="22"/>
        </w:rPr>
      </w:pPr>
      <w:r w:rsidRPr="008B544C">
        <w:rPr>
          <w:rFonts w:ascii="Arial" w:hAnsi="Arial" w:cs="Arial"/>
          <w:sz w:val="22"/>
          <w:szCs w:val="22"/>
        </w:rPr>
        <w:t>The computed equity value of -$89.75 million suggests a misalignment with the current assumptions regarding the Weighted Average Cost of Capital (WACC) and growth forecasts, indicating the necessity for a reassessment of the company's cost structure (Smith, 2023).</w:t>
      </w:r>
    </w:p>
    <w:p w14:paraId="6E82AE74"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Valuation Methodology</w:t>
      </w:r>
    </w:p>
    <w:p w14:paraId="266B8204" w14:textId="77777777" w:rsidR="00E129A4" w:rsidRPr="008B544C" w:rsidRDefault="00E129A4" w:rsidP="00FE731B">
      <w:pPr>
        <w:spacing w:line="360" w:lineRule="auto"/>
        <w:rPr>
          <w:rFonts w:ascii="Arial" w:hAnsi="Arial" w:cs="Arial"/>
          <w:sz w:val="22"/>
          <w:szCs w:val="22"/>
        </w:rPr>
      </w:pPr>
      <w:r w:rsidRPr="008B544C">
        <w:rPr>
          <w:rFonts w:ascii="Arial" w:hAnsi="Arial" w:cs="Arial"/>
          <w:sz w:val="22"/>
          <w:szCs w:val="22"/>
        </w:rPr>
        <w:t>This study utilizes the Discounted Cash Flow (DCF) method to evaluate Equity Value, Enterprise Value (EV), and the bid price for TA, employing financial indicators such as Free Cash Flow (FCF), Terminal Value, and Net Debt.</w:t>
      </w:r>
    </w:p>
    <w:p w14:paraId="0567A042"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Enterprise Value Calculation</w:t>
      </w:r>
    </w:p>
    <w:p w14:paraId="737BBE6B" w14:textId="77777777" w:rsidR="00E129A4" w:rsidRPr="008B544C" w:rsidRDefault="00E129A4" w:rsidP="00FE731B">
      <w:pPr>
        <w:spacing w:line="360" w:lineRule="auto"/>
        <w:rPr>
          <w:rFonts w:ascii="Arial" w:hAnsi="Arial" w:cs="Arial"/>
          <w:sz w:val="22"/>
          <w:szCs w:val="22"/>
        </w:rPr>
      </w:pPr>
      <w:r w:rsidRPr="008B544C">
        <w:rPr>
          <w:rFonts w:ascii="Arial" w:hAnsi="Arial" w:cs="Arial"/>
          <w:sz w:val="22"/>
          <w:szCs w:val="22"/>
        </w:rPr>
        <w:t>The Enterprise Value, totaling $89,226,057, is derived from aggregating the discounted free cash flows from 2020 to 2027, in addition to the terminal value (Damodaran, 2012; Koller et al., 2015).</w:t>
      </w:r>
    </w:p>
    <w:p w14:paraId="6D4502C8"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Bid Price and Market Capitalization</w:t>
      </w:r>
    </w:p>
    <w:p w14:paraId="0B88B2DD" w14:textId="77777777" w:rsidR="00E129A4" w:rsidRPr="008B544C" w:rsidRDefault="00E129A4" w:rsidP="00FE731B">
      <w:pPr>
        <w:numPr>
          <w:ilvl w:val="0"/>
          <w:numId w:val="18"/>
        </w:numPr>
        <w:spacing w:line="360" w:lineRule="auto"/>
        <w:rPr>
          <w:rFonts w:ascii="Arial" w:hAnsi="Arial" w:cs="Arial"/>
          <w:sz w:val="22"/>
          <w:szCs w:val="22"/>
        </w:rPr>
      </w:pPr>
      <w:r w:rsidRPr="008B544C">
        <w:rPr>
          <w:rFonts w:ascii="Arial" w:hAnsi="Arial" w:cs="Arial"/>
          <w:b/>
          <w:bCs/>
          <w:sz w:val="22"/>
          <w:szCs w:val="22"/>
        </w:rPr>
        <w:t>Bid Price</w:t>
      </w:r>
      <w:r w:rsidRPr="008B544C">
        <w:rPr>
          <w:rFonts w:ascii="Arial" w:hAnsi="Arial" w:cs="Arial"/>
          <w:sz w:val="22"/>
          <w:szCs w:val="22"/>
        </w:rPr>
        <w:t>: $1,300,000</w:t>
      </w:r>
    </w:p>
    <w:p w14:paraId="164273AC" w14:textId="77777777" w:rsidR="00E129A4" w:rsidRPr="008B544C" w:rsidRDefault="00E129A4" w:rsidP="00FE731B">
      <w:pPr>
        <w:numPr>
          <w:ilvl w:val="0"/>
          <w:numId w:val="18"/>
        </w:numPr>
        <w:spacing w:line="360" w:lineRule="auto"/>
        <w:rPr>
          <w:rFonts w:ascii="Arial" w:hAnsi="Arial" w:cs="Arial"/>
          <w:sz w:val="22"/>
          <w:szCs w:val="22"/>
        </w:rPr>
      </w:pPr>
      <w:r w:rsidRPr="008B544C">
        <w:rPr>
          <w:rFonts w:ascii="Arial" w:hAnsi="Arial" w:cs="Arial"/>
          <w:b/>
          <w:bCs/>
          <w:sz w:val="22"/>
          <w:szCs w:val="22"/>
        </w:rPr>
        <w:t>Market Capitalization</w:t>
      </w:r>
      <w:r w:rsidRPr="008B544C">
        <w:rPr>
          <w:rFonts w:ascii="Arial" w:hAnsi="Arial" w:cs="Arial"/>
          <w:sz w:val="22"/>
          <w:szCs w:val="22"/>
        </w:rPr>
        <w:t>: $660,000</w:t>
      </w:r>
    </w:p>
    <w:p w14:paraId="0E5C477B" w14:textId="77777777" w:rsidR="00E129A4" w:rsidRPr="008B544C" w:rsidRDefault="00E129A4" w:rsidP="00FE731B">
      <w:pPr>
        <w:spacing w:line="360" w:lineRule="auto"/>
        <w:rPr>
          <w:rFonts w:ascii="Arial" w:hAnsi="Arial" w:cs="Arial"/>
          <w:b/>
          <w:bCs/>
          <w:sz w:val="22"/>
          <w:szCs w:val="22"/>
        </w:rPr>
      </w:pPr>
      <w:r w:rsidRPr="008B544C">
        <w:rPr>
          <w:rFonts w:ascii="Arial" w:hAnsi="Arial" w:cs="Arial"/>
          <w:b/>
          <w:bCs/>
          <w:sz w:val="22"/>
          <w:szCs w:val="22"/>
        </w:rPr>
        <w:t>Bid Price Justification</w:t>
      </w:r>
    </w:p>
    <w:p w14:paraId="45AC6D2F" w14:textId="165C0628" w:rsidR="003E4690" w:rsidRPr="008B544C" w:rsidRDefault="00E129A4" w:rsidP="00164C12">
      <w:pPr>
        <w:spacing w:line="360" w:lineRule="auto"/>
        <w:rPr>
          <w:rFonts w:ascii="Arial" w:hAnsi="Arial" w:cs="Arial"/>
          <w:sz w:val="22"/>
          <w:szCs w:val="22"/>
        </w:rPr>
      </w:pPr>
      <w:r w:rsidRPr="008B544C">
        <w:rPr>
          <w:rFonts w:ascii="Arial" w:hAnsi="Arial" w:cs="Arial"/>
          <w:sz w:val="22"/>
          <w:szCs w:val="22"/>
        </w:rPr>
        <w:t xml:space="preserve">The calculated equity value of $89,750,263 falls significantly short of the $1,300,000 bid price, indicating BP's recognition of strategic advantages that may not be fully captured in the intrinsic valuation (Berk </w:t>
      </w:r>
      <w:r w:rsidR="00074452" w:rsidRPr="008B544C">
        <w:rPr>
          <w:rFonts w:ascii="Arial" w:hAnsi="Arial" w:cs="Arial"/>
          <w:sz w:val="22"/>
          <w:szCs w:val="22"/>
        </w:rPr>
        <w:t>and</w:t>
      </w:r>
      <w:r w:rsidRPr="008B544C">
        <w:rPr>
          <w:rFonts w:ascii="Arial" w:hAnsi="Arial" w:cs="Arial"/>
          <w:sz w:val="22"/>
          <w:szCs w:val="22"/>
        </w:rPr>
        <w:t xml:space="preserve"> DeMarzo, 2017; Koller et al., 2015). This discrepancy </w:t>
      </w:r>
      <w:r w:rsidRPr="008B544C">
        <w:rPr>
          <w:rFonts w:ascii="Arial" w:hAnsi="Arial" w:cs="Arial"/>
          <w:sz w:val="22"/>
          <w:szCs w:val="22"/>
        </w:rPr>
        <w:lastRenderedPageBreak/>
        <w:t>underscores the importance of considering qualitative factors and potential synergies in acquisition decisions.</w:t>
      </w:r>
    </w:p>
    <w:p w14:paraId="4CF09727" w14:textId="77777777" w:rsidR="003761B4" w:rsidRPr="008B544C" w:rsidRDefault="003761B4" w:rsidP="003761B4">
      <w:pPr>
        <w:rPr>
          <w:rFonts w:ascii="Arial" w:hAnsi="Arial" w:cs="Arial"/>
          <w:sz w:val="22"/>
          <w:szCs w:val="22"/>
        </w:rPr>
      </w:pPr>
    </w:p>
    <w:p w14:paraId="5398A036" w14:textId="5936D5E5" w:rsidR="003761B4" w:rsidRPr="008B544C" w:rsidRDefault="00272F9D" w:rsidP="003761B4">
      <w:pPr>
        <w:rPr>
          <w:rFonts w:ascii="Arial" w:hAnsi="Arial" w:cs="Arial"/>
          <w:b/>
          <w:bCs/>
          <w:sz w:val="22"/>
          <w:szCs w:val="22"/>
        </w:rPr>
      </w:pPr>
      <w:r w:rsidRPr="008B544C">
        <w:rPr>
          <w:rFonts w:ascii="Arial" w:hAnsi="Arial" w:cs="Arial"/>
          <w:b/>
          <w:bCs/>
          <w:sz w:val="22"/>
          <w:szCs w:val="22"/>
        </w:rPr>
        <w:t xml:space="preserve">2.4 </w:t>
      </w:r>
      <w:r w:rsidR="003761B4" w:rsidRPr="008B544C">
        <w:rPr>
          <w:rFonts w:ascii="Arial" w:hAnsi="Arial" w:cs="Arial"/>
          <w:b/>
          <w:bCs/>
          <w:sz w:val="22"/>
          <w:szCs w:val="22"/>
        </w:rPr>
        <w:t>Justification for the Acquisition Premium</w:t>
      </w:r>
    </w:p>
    <w:p w14:paraId="214715E2" w14:textId="77777777" w:rsidR="003761B4" w:rsidRPr="008B544C" w:rsidRDefault="003761B4" w:rsidP="003761B4">
      <w:pPr>
        <w:rPr>
          <w:rFonts w:ascii="Arial" w:hAnsi="Arial" w:cs="Arial"/>
          <w:sz w:val="22"/>
          <w:szCs w:val="22"/>
        </w:rPr>
      </w:pPr>
      <w:r w:rsidRPr="008B544C">
        <w:rPr>
          <w:rFonts w:ascii="Arial" w:hAnsi="Arial" w:cs="Arial"/>
          <w:sz w:val="22"/>
          <w:szCs w:val="22"/>
        </w:rPr>
        <w:t>The anticipated acquisition of TravelCenters of America (TA) by BP Plc is underpinned by several strategic justifications for the premium associated with the bid:</w:t>
      </w:r>
    </w:p>
    <w:p w14:paraId="3F1F368D" w14:textId="77777777" w:rsidR="003761B4" w:rsidRPr="008B544C" w:rsidRDefault="003761B4" w:rsidP="003761B4">
      <w:pPr>
        <w:numPr>
          <w:ilvl w:val="0"/>
          <w:numId w:val="1"/>
        </w:numPr>
        <w:rPr>
          <w:rFonts w:ascii="Arial" w:hAnsi="Arial" w:cs="Arial"/>
          <w:sz w:val="22"/>
          <w:szCs w:val="22"/>
        </w:rPr>
      </w:pPr>
      <w:r w:rsidRPr="008B544C">
        <w:rPr>
          <w:rFonts w:ascii="Arial" w:hAnsi="Arial" w:cs="Arial"/>
          <w:b/>
          <w:bCs/>
          <w:sz w:val="22"/>
          <w:szCs w:val="22"/>
        </w:rPr>
        <w:t>Strategic Synergies</w:t>
      </w:r>
      <w:r w:rsidRPr="008B544C">
        <w:rPr>
          <w:rFonts w:ascii="Arial" w:hAnsi="Arial" w:cs="Arial"/>
          <w:sz w:val="22"/>
          <w:szCs w:val="22"/>
        </w:rPr>
        <w:t>: The acquisition is expected to yield operational efficiencies through enhanced resource sharing and process optimization, thereby improving overall operational performance (Koller et al., 2015).</w:t>
      </w:r>
    </w:p>
    <w:p w14:paraId="2B7C8296" w14:textId="77777777" w:rsidR="003761B4" w:rsidRPr="008B544C" w:rsidRDefault="003761B4" w:rsidP="003761B4">
      <w:pPr>
        <w:numPr>
          <w:ilvl w:val="0"/>
          <w:numId w:val="1"/>
        </w:numPr>
        <w:rPr>
          <w:rFonts w:ascii="Arial" w:hAnsi="Arial" w:cs="Arial"/>
          <w:sz w:val="22"/>
          <w:szCs w:val="22"/>
        </w:rPr>
      </w:pPr>
      <w:r w:rsidRPr="008B544C">
        <w:rPr>
          <w:rFonts w:ascii="Arial" w:hAnsi="Arial" w:cs="Arial"/>
          <w:b/>
          <w:bCs/>
          <w:sz w:val="22"/>
          <w:szCs w:val="22"/>
        </w:rPr>
        <w:t>Market Expansion</w:t>
      </w:r>
      <w:r w:rsidRPr="008B544C">
        <w:rPr>
          <w:rFonts w:ascii="Arial" w:hAnsi="Arial" w:cs="Arial"/>
          <w:sz w:val="22"/>
          <w:szCs w:val="22"/>
        </w:rPr>
        <w:t>: Acquiring TA will provide BP with access to new demographics and geographical regions, thereby strengthening its competitive position in the energy market (Rodrigues &amp; Ferreira, 2018).</w:t>
      </w:r>
    </w:p>
    <w:p w14:paraId="62AA7348" w14:textId="77777777" w:rsidR="003761B4" w:rsidRPr="008B544C" w:rsidRDefault="003761B4" w:rsidP="003761B4">
      <w:pPr>
        <w:numPr>
          <w:ilvl w:val="0"/>
          <w:numId w:val="1"/>
        </w:numPr>
        <w:rPr>
          <w:rFonts w:ascii="Arial" w:hAnsi="Arial" w:cs="Arial"/>
          <w:sz w:val="22"/>
          <w:szCs w:val="22"/>
        </w:rPr>
      </w:pPr>
      <w:r w:rsidRPr="008B544C">
        <w:rPr>
          <w:rFonts w:ascii="Arial" w:hAnsi="Arial" w:cs="Arial"/>
          <w:b/>
          <w:bCs/>
          <w:sz w:val="22"/>
          <w:szCs w:val="22"/>
        </w:rPr>
        <w:t>Cost Optimization</w:t>
      </w:r>
      <w:r w:rsidRPr="008B544C">
        <w:rPr>
          <w:rFonts w:ascii="Arial" w:hAnsi="Arial" w:cs="Arial"/>
          <w:sz w:val="22"/>
          <w:szCs w:val="22"/>
        </w:rPr>
        <w:t>: A post-acquisition reorganization may lead to improved operational performance and enhanced cash flow management, facilitating better financial outcomes for BP (Morck &amp; Nakamura, 2005).</w:t>
      </w:r>
    </w:p>
    <w:p w14:paraId="4015733D" w14:textId="77777777" w:rsidR="003761B4" w:rsidRPr="008B544C" w:rsidRDefault="003761B4" w:rsidP="003761B4">
      <w:pPr>
        <w:numPr>
          <w:ilvl w:val="0"/>
          <w:numId w:val="1"/>
        </w:numPr>
        <w:rPr>
          <w:rFonts w:ascii="Arial" w:hAnsi="Arial" w:cs="Arial"/>
          <w:sz w:val="22"/>
          <w:szCs w:val="22"/>
        </w:rPr>
      </w:pPr>
      <w:r w:rsidRPr="008B544C">
        <w:rPr>
          <w:rFonts w:ascii="Arial" w:hAnsi="Arial" w:cs="Arial"/>
          <w:b/>
          <w:bCs/>
          <w:sz w:val="22"/>
          <w:szCs w:val="22"/>
        </w:rPr>
        <w:t>Intangible Assets</w:t>
      </w:r>
      <w:r w:rsidRPr="008B544C">
        <w:rPr>
          <w:rFonts w:ascii="Arial" w:hAnsi="Arial" w:cs="Arial"/>
          <w:sz w:val="22"/>
          <w:szCs w:val="22"/>
        </w:rPr>
        <w:t>: The acquisition is likely to enhance BP's brand reputation and customer loyalty, factors that may justify a purchase premium due to their contribution to perceived value (Matsuno et al., 2002).</w:t>
      </w:r>
    </w:p>
    <w:p w14:paraId="11F2BC16" w14:textId="77777777" w:rsidR="003761B4" w:rsidRPr="008B544C" w:rsidRDefault="003761B4" w:rsidP="003761B4">
      <w:pPr>
        <w:rPr>
          <w:rFonts w:ascii="Arial" w:hAnsi="Arial" w:cs="Arial"/>
          <w:b/>
          <w:bCs/>
          <w:sz w:val="22"/>
          <w:szCs w:val="22"/>
        </w:rPr>
      </w:pPr>
      <w:r w:rsidRPr="008B544C">
        <w:rPr>
          <w:rFonts w:ascii="Arial" w:hAnsi="Arial" w:cs="Arial"/>
          <w:b/>
          <w:bCs/>
          <w:sz w:val="22"/>
          <w:szCs w:val="22"/>
        </w:rPr>
        <w:t>Recommendations</w:t>
      </w:r>
    </w:p>
    <w:p w14:paraId="28265210" w14:textId="77777777" w:rsidR="003761B4" w:rsidRPr="008B544C" w:rsidRDefault="003761B4" w:rsidP="003761B4">
      <w:pPr>
        <w:rPr>
          <w:rFonts w:ascii="Arial" w:hAnsi="Arial" w:cs="Arial"/>
          <w:sz w:val="22"/>
          <w:szCs w:val="22"/>
        </w:rPr>
      </w:pPr>
      <w:r w:rsidRPr="008B544C">
        <w:rPr>
          <w:rFonts w:ascii="Arial" w:hAnsi="Arial" w:cs="Arial"/>
          <w:sz w:val="22"/>
          <w:szCs w:val="22"/>
        </w:rPr>
        <w:t>To ensure the successful integration and realization of the anticipated benefits from the acquisition, the following recommendations are proposed:</w:t>
      </w:r>
    </w:p>
    <w:p w14:paraId="612700E2" w14:textId="77777777" w:rsidR="003761B4" w:rsidRPr="008B544C" w:rsidRDefault="003761B4" w:rsidP="003761B4">
      <w:pPr>
        <w:numPr>
          <w:ilvl w:val="0"/>
          <w:numId w:val="2"/>
        </w:numPr>
        <w:rPr>
          <w:rFonts w:ascii="Arial" w:hAnsi="Arial" w:cs="Arial"/>
          <w:sz w:val="22"/>
          <w:szCs w:val="22"/>
        </w:rPr>
      </w:pPr>
      <w:r w:rsidRPr="008B544C">
        <w:rPr>
          <w:rFonts w:ascii="Arial" w:hAnsi="Arial" w:cs="Arial"/>
          <w:b/>
          <w:bCs/>
          <w:sz w:val="22"/>
          <w:szCs w:val="22"/>
        </w:rPr>
        <w:t>Alignment Review</w:t>
      </w:r>
      <w:r w:rsidRPr="008B544C">
        <w:rPr>
          <w:rFonts w:ascii="Arial" w:hAnsi="Arial" w:cs="Arial"/>
          <w:sz w:val="22"/>
          <w:szCs w:val="22"/>
        </w:rPr>
        <w:t>: BP should conduct a thorough assessment to determine whether the acquisition aligns with its long-term strategic objectives, thereby enhancing the overall corporate strategy (Porter, 1985).</w:t>
      </w:r>
    </w:p>
    <w:p w14:paraId="3059CC79" w14:textId="77777777" w:rsidR="003761B4" w:rsidRPr="008B544C" w:rsidRDefault="003761B4" w:rsidP="003761B4">
      <w:pPr>
        <w:numPr>
          <w:ilvl w:val="0"/>
          <w:numId w:val="2"/>
        </w:numPr>
        <w:rPr>
          <w:rFonts w:ascii="Arial" w:hAnsi="Arial" w:cs="Arial"/>
          <w:sz w:val="22"/>
          <w:szCs w:val="22"/>
        </w:rPr>
      </w:pPr>
      <w:r w:rsidRPr="008B544C">
        <w:rPr>
          <w:rFonts w:ascii="Arial" w:hAnsi="Arial" w:cs="Arial"/>
          <w:b/>
          <w:bCs/>
          <w:sz w:val="22"/>
          <w:szCs w:val="22"/>
        </w:rPr>
        <w:t>Synergy Realization</w:t>
      </w:r>
      <w:r w:rsidRPr="008B544C">
        <w:rPr>
          <w:rFonts w:ascii="Arial" w:hAnsi="Arial" w:cs="Arial"/>
          <w:sz w:val="22"/>
          <w:szCs w:val="22"/>
        </w:rPr>
        <w:t>: It is imperative for BP to prioritize the realization of both operational and market synergies to substantiate the acquisition premium (Berk &amp; DeMarzo, 2017).</w:t>
      </w:r>
    </w:p>
    <w:p w14:paraId="000606CB" w14:textId="7643FE26" w:rsidR="003761B4" w:rsidRPr="008B544C" w:rsidRDefault="003761B4" w:rsidP="003761B4">
      <w:pPr>
        <w:numPr>
          <w:ilvl w:val="0"/>
          <w:numId w:val="2"/>
        </w:numPr>
        <w:rPr>
          <w:rFonts w:ascii="Arial" w:hAnsi="Arial" w:cs="Arial"/>
          <w:sz w:val="22"/>
          <w:szCs w:val="22"/>
        </w:rPr>
      </w:pPr>
      <w:r w:rsidRPr="008B544C">
        <w:rPr>
          <w:rFonts w:ascii="Arial" w:hAnsi="Arial" w:cs="Arial"/>
          <w:b/>
          <w:bCs/>
          <w:sz w:val="22"/>
          <w:szCs w:val="22"/>
        </w:rPr>
        <w:t>Sensitivity Analysis</w:t>
      </w:r>
      <w:r w:rsidRPr="008B544C">
        <w:rPr>
          <w:rFonts w:ascii="Arial" w:hAnsi="Arial" w:cs="Arial"/>
          <w:sz w:val="22"/>
          <w:szCs w:val="22"/>
        </w:rPr>
        <w:t>: BP should perform sensitivity analyses on key valuation inputs, including the WACC, perpetual growth rates, and operational efficiency forecasts, to validate the robustness of its financial assumptions (Damodaran, 2012).</w:t>
      </w:r>
    </w:p>
    <w:p w14:paraId="023F3C24" w14:textId="77777777" w:rsidR="003761B4" w:rsidRPr="008B544C" w:rsidRDefault="003761B4" w:rsidP="003761B4">
      <w:pPr>
        <w:numPr>
          <w:ilvl w:val="0"/>
          <w:numId w:val="2"/>
        </w:numPr>
        <w:rPr>
          <w:rFonts w:ascii="Arial" w:hAnsi="Arial" w:cs="Arial"/>
          <w:sz w:val="22"/>
          <w:szCs w:val="22"/>
        </w:rPr>
      </w:pPr>
      <w:r w:rsidRPr="008B544C">
        <w:rPr>
          <w:rFonts w:ascii="Arial" w:hAnsi="Arial" w:cs="Arial"/>
          <w:b/>
          <w:bCs/>
          <w:sz w:val="22"/>
          <w:szCs w:val="22"/>
        </w:rPr>
        <w:t>Post-Acquisition Integration</w:t>
      </w:r>
      <w:r w:rsidRPr="008B544C">
        <w:rPr>
          <w:rFonts w:ascii="Arial" w:hAnsi="Arial" w:cs="Arial"/>
          <w:sz w:val="22"/>
          <w:szCs w:val="22"/>
        </w:rPr>
        <w:t>: A comprehensive integration plan should be developed to optimize cost savings and revenue synergies following the acquisition (Nahavandi &amp; Malekzadeh, 1993).</w:t>
      </w:r>
    </w:p>
    <w:p w14:paraId="619166A0" w14:textId="77777777" w:rsidR="00ED61A5" w:rsidRPr="008B544C" w:rsidRDefault="00ED61A5" w:rsidP="00ED61A5">
      <w:pPr>
        <w:ind w:left="720"/>
        <w:rPr>
          <w:rFonts w:ascii="Arial" w:hAnsi="Arial" w:cs="Arial"/>
          <w:b/>
          <w:bCs/>
          <w:sz w:val="22"/>
          <w:szCs w:val="22"/>
        </w:rPr>
      </w:pPr>
    </w:p>
    <w:p w14:paraId="7F668F5A" w14:textId="77777777" w:rsidR="00ED61A5" w:rsidRPr="008B544C" w:rsidRDefault="00ED61A5" w:rsidP="00ED61A5">
      <w:pPr>
        <w:ind w:left="720"/>
        <w:rPr>
          <w:rFonts w:ascii="Arial" w:hAnsi="Arial" w:cs="Arial"/>
          <w:sz w:val="22"/>
          <w:szCs w:val="22"/>
        </w:rPr>
      </w:pPr>
    </w:p>
    <w:p w14:paraId="59915E6E" w14:textId="77777777" w:rsidR="006F4F7F" w:rsidRPr="008B544C" w:rsidRDefault="006F4F7F" w:rsidP="00ED61A5">
      <w:pPr>
        <w:ind w:left="720"/>
        <w:rPr>
          <w:rFonts w:ascii="Arial" w:hAnsi="Arial" w:cs="Arial"/>
          <w:sz w:val="22"/>
          <w:szCs w:val="22"/>
        </w:rPr>
      </w:pPr>
    </w:p>
    <w:p w14:paraId="1B94DB20" w14:textId="77777777" w:rsidR="006F4F7F" w:rsidRPr="008B544C" w:rsidRDefault="006F4F7F" w:rsidP="00ED61A5">
      <w:pPr>
        <w:ind w:left="720"/>
        <w:rPr>
          <w:rFonts w:ascii="Arial" w:hAnsi="Arial" w:cs="Arial"/>
          <w:sz w:val="22"/>
          <w:szCs w:val="22"/>
        </w:rPr>
      </w:pPr>
    </w:p>
    <w:p w14:paraId="595C0236" w14:textId="42F29AAC" w:rsidR="003761B4" w:rsidRPr="008B544C" w:rsidRDefault="00272F9D" w:rsidP="003761B4">
      <w:pPr>
        <w:rPr>
          <w:rFonts w:ascii="Arial" w:hAnsi="Arial" w:cs="Arial"/>
          <w:b/>
          <w:bCs/>
          <w:sz w:val="22"/>
          <w:szCs w:val="22"/>
        </w:rPr>
      </w:pPr>
      <w:r w:rsidRPr="008B544C">
        <w:rPr>
          <w:rFonts w:ascii="Arial" w:hAnsi="Arial" w:cs="Arial"/>
          <w:b/>
          <w:bCs/>
          <w:sz w:val="22"/>
          <w:szCs w:val="22"/>
        </w:rPr>
        <w:lastRenderedPageBreak/>
        <w:t>3</w:t>
      </w:r>
      <w:r w:rsidR="00724912" w:rsidRPr="008B544C">
        <w:rPr>
          <w:rFonts w:ascii="Arial" w:hAnsi="Arial" w:cs="Arial"/>
          <w:b/>
          <w:bCs/>
          <w:sz w:val="22"/>
          <w:szCs w:val="22"/>
        </w:rPr>
        <w:t xml:space="preserve">.0 </w:t>
      </w:r>
      <w:r w:rsidR="003761B4" w:rsidRPr="008B544C">
        <w:rPr>
          <w:rFonts w:ascii="Arial" w:hAnsi="Arial" w:cs="Arial"/>
          <w:b/>
          <w:bCs/>
          <w:sz w:val="22"/>
          <w:szCs w:val="22"/>
        </w:rPr>
        <w:t>Shell's</w:t>
      </w:r>
      <w:r w:rsidR="00C70B97" w:rsidRPr="008B544C">
        <w:rPr>
          <w:rFonts w:ascii="Arial" w:hAnsi="Arial" w:cs="Arial"/>
          <w:b/>
          <w:bCs/>
          <w:sz w:val="22"/>
          <w:szCs w:val="22"/>
        </w:rPr>
        <w:t xml:space="preserve"> Potential Rival Bidder</w:t>
      </w:r>
    </w:p>
    <w:p w14:paraId="39CDB7E5" w14:textId="77777777" w:rsidR="003761B4" w:rsidRPr="008B544C" w:rsidRDefault="003761B4" w:rsidP="003761B4">
      <w:pPr>
        <w:rPr>
          <w:rFonts w:ascii="Arial" w:hAnsi="Arial" w:cs="Arial"/>
          <w:sz w:val="22"/>
          <w:szCs w:val="22"/>
        </w:rPr>
      </w:pPr>
      <w:r w:rsidRPr="008B544C">
        <w:rPr>
          <w:rFonts w:ascii="Arial" w:hAnsi="Arial" w:cs="Arial"/>
          <w:sz w:val="22"/>
          <w:szCs w:val="22"/>
        </w:rPr>
        <w:t>As one of the leading global energy companies, Shell reported revenues of $386 billion in the fiscal year 2022, significantly surpassing BP's revenues of $241 billion (Shell Annual Report, 2022). This financial strength positions Shell favorably to engage in aggressive acquisition strategies.</w:t>
      </w:r>
    </w:p>
    <w:p w14:paraId="2414A3B6" w14:textId="77777777" w:rsidR="003761B4" w:rsidRPr="008B544C" w:rsidRDefault="003761B4" w:rsidP="003761B4">
      <w:pPr>
        <w:rPr>
          <w:rFonts w:ascii="Arial" w:hAnsi="Arial" w:cs="Arial"/>
          <w:b/>
          <w:bCs/>
          <w:sz w:val="22"/>
          <w:szCs w:val="22"/>
        </w:rPr>
      </w:pPr>
      <w:r w:rsidRPr="008B544C">
        <w:rPr>
          <w:rFonts w:ascii="Arial" w:hAnsi="Arial" w:cs="Arial"/>
          <w:b/>
          <w:bCs/>
          <w:sz w:val="22"/>
          <w:szCs w:val="22"/>
        </w:rPr>
        <w:t>Synergies from Shell's Bid</w:t>
      </w:r>
    </w:p>
    <w:p w14:paraId="46D93696" w14:textId="77777777" w:rsidR="003761B4" w:rsidRPr="008B544C" w:rsidRDefault="003761B4" w:rsidP="003761B4">
      <w:pPr>
        <w:numPr>
          <w:ilvl w:val="0"/>
          <w:numId w:val="3"/>
        </w:numPr>
        <w:rPr>
          <w:rFonts w:ascii="Arial" w:hAnsi="Arial" w:cs="Arial"/>
          <w:sz w:val="22"/>
          <w:szCs w:val="22"/>
        </w:rPr>
      </w:pPr>
      <w:r w:rsidRPr="008B544C">
        <w:rPr>
          <w:rFonts w:ascii="Arial" w:hAnsi="Arial" w:cs="Arial"/>
          <w:b/>
          <w:bCs/>
          <w:sz w:val="22"/>
          <w:szCs w:val="22"/>
        </w:rPr>
        <w:t>Revenue Enhancement</w:t>
      </w:r>
      <w:r w:rsidRPr="008B544C">
        <w:rPr>
          <w:rFonts w:ascii="Arial" w:hAnsi="Arial" w:cs="Arial"/>
          <w:sz w:val="22"/>
          <w:szCs w:val="22"/>
        </w:rPr>
        <w:t>: By integrating TA's infrastructure with its existing operations, Shell may diversify its client base and generate additional revenue through enhanced service offerings (Koller et al., 2020).</w:t>
      </w:r>
    </w:p>
    <w:p w14:paraId="160FFE8C" w14:textId="77777777" w:rsidR="003761B4" w:rsidRPr="008B544C" w:rsidRDefault="003761B4" w:rsidP="003761B4">
      <w:pPr>
        <w:numPr>
          <w:ilvl w:val="0"/>
          <w:numId w:val="3"/>
        </w:numPr>
        <w:rPr>
          <w:rFonts w:ascii="Arial" w:hAnsi="Arial" w:cs="Arial"/>
          <w:sz w:val="22"/>
          <w:szCs w:val="22"/>
        </w:rPr>
      </w:pPr>
      <w:r w:rsidRPr="008B544C">
        <w:rPr>
          <w:rFonts w:ascii="Arial" w:hAnsi="Arial" w:cs="Arial"/>
          <w:b/>
          <w:bCs/>
          <w:sz w:val="22"/>
          <w:szCs w:val="22"/>
        </w:rPr>
        <w:t>Cost Savings</w:t>
      </w:r>
      <w:r w:rsidRPr="008B544C">
        <w:rPr>
          <w:rFonts w:ascii="Arial" w:hAnsi="Arial" w:cs="Arial"/>
          <w:sz w:val="22"/>
          <w:szCs w:val="22"/>
        </w:rPr>
        <w:t>: Leveraging TA's existing locations could substantially reduce construction costs associated with establishing new service stations (Francis &amp; Wang, 2019).</w:t>
      </w:r>
    </w:p>
    <w:p w14:paraId="7EA50378" w14:textId="77777777" w:rsidR="003761B4" w:rsidRPr="008B544C" w:rsidRDefault="003761B4" w:rsidP="003761B4">
      <w:pPr>
        <w:numPr>
          <w:ilvl w:val="0"/>
          <w:numId w:val="3"/>
        </w:numPr>
        <w:rPr>
          <w:rFonts w:ascii="Arial" w:hAnsi="Arial" w:cs="Arial"/>
          <w:sz w:val="22"/>
          <w:szCs w:val="22"/>
        </w:rPr>
      </w:pPr>
      <w:r w:rsidRPr="008B544C">
        <w:rPr>
          <w:rFonts w:ascii="Arial" w:hAnsi="Arial" w:cs="Arial"/>
          <w:b/>
          <w:bCs/>
          <w:sz w:val="22"/>
          <w:szCs w:val="22"/>
        </w:rPr>
        <w:t>Market Penetration</w:t>
      </w:r>
      <w:r w:rsidRPr="008B544C">
        <w:rPr>
          <w:rFonts w:ascii="Arial" w:hAnsi="Arial" w:cs="Arial"/>
          <w:sz w:val="22"/>
          <w:szCs w:val="22"/>
        </w:rPr>
        <w:t>: The acquisition of TA would bolster Shell's competitive position in both traditional fuel and electric vehicle (EV) markets within the United States (McKinsey &amp; Company, 2021).</w:t>
      </w:r>
    </w:p>
    <w:p w14:paraId="1B82FECB" w14:textId="77777777" w:rsidR="003761B4" w:rsidRPr="008B544C" w:rsidRDefault="003761B4" w:rsidP="003761B4">
      <w:pPr>
        <w:rPr>
          <w:rFonts w:ascii="Arial" w:hAnsi="Arial" w:cs="Arial"/>
          <w:b/>
          <w:bCs/>
          <w:sz w:val="22"/>
          <w:szCs w:val="22"/>
        </w:rPr>
      </w:pPr>
      <w:r w:rsidRPr="008B544C">
        <w:rPr>
          <w:rFonts w:ascii="Arial" w:hAnsi="Arial" w:cs="Arial"/>
          <w:b/>
          <w:bCs/>
          <w:sz w:val="22"/>
          <w:szCs w:val="22"/>
        </w:rPr>
        <w:t>Risks and Challenges for Shell</w:t>
      </w:r>
    </w:p>
    <w:p w14:paraId="0B757051" w14:textId="77777777" w:rsidR="003761B4" w:rsidRPr="008B544C" w:rsidRDefault="003761B4" w:rsidP="003761B4">
      <w:pPr>
        <w:numPr>
          <w:ilvl w:val="0"/>
          <w:numId w:val="4"/>
        </w:numPr>
        <w:rPr>
          <w:rFonts w:ascii="Arial" w:hAnsi="Arial" w:cs="Arial"/>
          <w:sz w:val="22"/>
          <w:szCs w:val="22"/>
        </w:rPr>
      </w:pPr>
      <w:r w:rsidRPr="008B544C">
        <w:rPr>
          <w:rFonts w:ascii="Arial" w:hAnsi="Arial" w:cs="Arial"/>
          <w:b/>
          <w:bCs/>
          <w:sz w:val="22"/>
          <w:szCs w:val="22"/>
        </w:rPr>
        <w:t>Geographical Overlap</w:t>
      </w:r>
      <w:r w:rsidRPr="008B544C">
        <w:rPr>
          <w:rFonts w:ascii="Arial" w:hAnsi="Arial" w:cs="Arial"/>
          <w:sz w:val="22"/>
          <w:szCs w:val="22"/>
        </w:rPr>
        <w:t>: Shell's existing operations in the United States may result in overlapping market territories, potentially diminishing returns (Johnson, 2023).</w:t>
      </w:r>
    </w:p>
    <w:p w14:paraId="33627A3D" w14:textId="77777777" w:rsidR="003761B4" w:rsidRPr="008B544C" w:rsidRDefault="003761B4" w:rsidP="003761B4">
      <w:pPr>
        <w:numPr>
          <w:ilvl w:val="0"/>
          <w:numId w:val="4"/>
        </w:numPr>
        <w:rPr>
          <w:rFonts w:ascii="Arial" w:hAnsi="Arial" w:cs="Arial"/>
          <w:sz w:val="22"/>
          <w:szCs w:val="22"/>
        </w:rPr>
      </w:pPr>
      <w:r w:rsidRPr="008B544C">
        <w:rPr>
          <w:rFonts w:ascii="Arial" w:hAnsi="Arial" w:cs="Arial"/>
          <w:b/>
          <w:bCs/>
          <w:sz w:val="22"/>
          <w:szCs w:val="22"/>
        </w:rPr>
        <w:t>Regulatory Concerns</w:t>
      </w:r>
      <w:r w:rsidRPr="008B544C">
        <w:rPr>
          <w:rFonts w:ascii="Arial" w:hAnsi="Arial" w:cs="Arial"/>
          <w:sz w:val="22"/>
          <w:szCs w:val="22"/>
        </w:rPr>
        <w:t>: Shell's significant presence in the energy sector may raise antitrust concerns regarding potential over-consolidation in both the fuel and EV charging markets (Johnson, 2023).</w:t>
      </w:r>
    </w:p>
    <w:p w14:paraId="63F85372" w14:textId="77777777" w:rsidR="003761B4" w:rsidRPr="008B544C" w:rsidRDefault="003761B4" w:rsidP="003761B4">
      <w:pPr>
        <w:numPr>
          <w:ilvl w:val="0"/>
          <w:numId w:val="4"/>
        </w:numPr>
        <w:rPr>
          <w:rFonts w:ascii="Arial" w:hAnsi="Arial" w:cs="Arial"/>
          <w:sz w:val="22"/>
          <w:szCs w:val="22"/>
        </w:rPr>
      </w:pPr>
      <w:r w:rsidRPr="008B544C">
        <w:rPr>
          <w:rFonts w:ascii="Arial" w:hAnsi="Arial" w:cs="Arial"/>
          <w:b/>
          <w:bCs/>
          <w:sz w:val="22"/>
          <w:szCs w:val="22"/>
        </w:rPr>
        <w:t>Debt Concerns</w:t>
      </w:r>
      <w:r w:rsidRPr="008B544C">
        <w:rPr>
          <w:rFonts w:ascii="Arial" w:hAnsi="Arial" w:cs="Arial"/>
          <w:sz w:val="22"/>
          <w:szCs w:val="22"/>
        </w:rPr>
        <w:t>: The existing debt obligations of TA, coupled with operational changes under new ownership, could impose financial strain on Shell (Harris, 2007).</w:t>
      </w:r>
    </w:p>
    <w:p w14:paraId="48A61BB9" w14:textId="77777777" w:rsidR="003761B4" w:rsidRPr="008B544C" w:rsidRDefault="003761B4" w:rsidP="003761B4">
      <w:pPr>
        <w:rPr>
          <w:rFonts w:ascii="Arial" w:hAnsi="Arial" w:cs="Arial"/>
          <w:sz w:val="22"/>
          <w:szCs w:val="22"/>
        </w:rPr>
      </w:pPr>
      <w:r w:rsidRPr="008B544C">
        <w:rPr>
          <w:rFonts w:ascii="Arial" w:hAnsi="Arial" w:cs="Arial"/>
          <w:sz w:val="22"/>
          <w:szCs w:val="22"/>
        </w:rPr>
        <w:t>Despite these challenges, Shell's commitment to sustainability and its robust financial position render it a formidable competitor in the bidding process for TA, emphasizing the strategic significance of TA's network in the evolving energy landscape (Shell Annual Report, 2022).</w:t>
      </w:r>
    </w:p>
    <w:p w14:paraId="278263D9" w14:textId="1F535E52" w:rsidR="003761B4" w:rsidRPr="008B544C" w:rsidRDefault="00ED61A5" w:rsidP="003761B4">
      <w:pPr>
        <w:rPr>
          <w:rFonts w:ascii="Arial" w:hAnsi="Arial" w:cs="Arial"/>
          <w:b/>
          <w:bCs/>
          <w:sz w:val="22"/>
          <w:szCs w:val="22"/>
        </w:rPr>
      </w:pPr>
      <w:r w:rsidRPr="008B544C">
        <w:rPr>
          <w:rFonts w:ascii="Arial" w:hAnsi="Arial" w:cs="Arial"/>
          <w:b/>
          <w:bCs/>
          <w:sz w:val="22"/>
          <w:szCs w:val="22"/>
        </w:rPr>
        <w:t xml:space="preserve">4.0 </w:t>
      </w:r>
      <w:r w:rsidR="003761B4" w:rsidRPr="008B544C">
        <w:rPr>
          <w:rFonts w:ascii="Arial" w:hAnsi="Arial" w:cs="Arial"/>
          <w:b/>
          <w:bCs/>
          <w:sz w:val="22"/>
          <w:szCs w:val="22"/>
        </w:rPr>
        <w:t>Business Valuation Methods</w:t>
      </w:r>
    </w:p>
    <w:p w14:paraId="503D34ED" w14:textId="77777777" w:rsidR="003761B4" w:rsidRPr="008B544C" w:rsidRDefault="003761B4" w:rsidP="003761B4">
      <w:pPr>
        <w:rPr>
          <w:rFonts w:ascii="Arial" w:hAnsi="Arial" w:cs="Arial"/>
          <w:sz w:val="22"/>
          <w:szCs w:val="22"/>
        </w:rPr>
      </w:pPr>
      <w:r w:rsidRPr="008B544C">
        <w:rPr>
          <w:rFonts w:ascii="Arial" w:hAnsi="Arial" w:cs="Arial"/>
          <w:sz w:val="22"/>
          <w:szCs w:val="22"/>
        </w:rPr>
        <w:t>The evaluation of BP's bid for TA incorporates three primary valuation methodologies: Discounted Cash Flow (DCF), Comparable Company Analysis (CCA), and Precedent Transactions.</w:t>
      </w:r>
    </w:p>
    <w:p w14:paraId="572451AC" w14:textId="77777777" w:rsidR="003761B4" w:rsidRPr="008B544C" w:rsidRDefault="003761B4" w:rsidP="003761B4">
      <w:pPr>
        <w:rPr>
          <w:rFonts w:ascii="Arial" w:hAnsi="Arial" w:cs="Arial"/>
          <w:b/>
          <w:bCs/>
          <w:sz w:val="22"/>
          <w:szCs w:val="22"/>
        </w:rPr>
      </w:pPr>
      <w:r w:rsidRPr="008B544C">
        <w:rPr>
          <w:rFonts w:ascii="Arial" w:hAnsi="Arial" w:cs="Arial"/>
          <w:b/>
          <w:bCs/>
          <w:sz w:val="22"/>
          <w:szCs w:val="22"/>
        </w:rPr>
        <w:t>1. Discounted Cash Flow (DCF) Methodology</w:t>
      </w:r>
    </w:p>
    <w:p w14:paraId="275E0AB4" w14:textId="77777777" w:rsidR="003761B4" w:rsidRPr="008B544C" w:rsidRDefault="003761B4" w:rsidP="003761B4">
      <w:pPr>
        <w:numPr>
          <w:ilvl w:val="0"/>
          <w:numId w:val="5"/>
        </w:numPr>
        <w:rPr>
          <w:rFonts w:ascii="Arial" w:hAnsi="Arial" w:cs="Arial"/>
          <w:sz w:val="22"/>
          <w:szCs w:val="22"/>
        </w:rPr>
      </w:pPr>
      <w:r w:rsidRPr="008B544C">
        <w:rPr>
          <w:rFonts w:ascii="Arial" w:hAnsi="Arial" w:cs="Arial"/>
          <w:b/>
          <w:bCs/>
          <w:sz w:val="22"/>
          <w:szCs w:val="22"/>
        </w:rPr>
        <w:t>Assumptions</w:t>
      </w:r>
      <w:r w:rsidRPr="008B544C">
        <w:rPr>
          <w:rFonts w:ascii="Arial" w:hAnsi="Arial" w:cs="Arial"/>
          <w:sz w:val="22"/>
          <w:szCs w:val="22"/>
        </w:rPr>
        <w:t>: The DCF analysis utilized a WACC of 2.50%, a risk-free rate of 4.25%, and a market risk premium of 5.0%. This analysis yielded a present value of $6,765,755,000 and a terminal value of -$95,991,812, resulting in an enterprise value of -$89,226,057 (Damodaran, 2016).</w:t>
      </w:r>
    </w:p>
    <w:p w14:paraId="5DCD5F59" w14:textId="77777777" w:rsidR="003761B4" w:rsidRPr="008B544C" w:rsidRDefault="003761B4" w:rsidP="003761B4">
      <w:pPr>
        <w:rPr>
          <w:rFonts w:ascii="Arial" w:hAnsi="Arial" w:cs="Arial"/>
          <w:sz w:val="22"/>
          <w:szCs w:val="22"/>
        </w:rPr>
      </w:pPr>
      <w:r w:rsidRPr="008B544C">
        <w:rPr>
          <w:rFonts w:ascii="Arial" w:hAnsi="Arial" w:cs="Arial"/>
          <w:b/>
          <w:bCs/>
          <w:sz w:val="22"/>
          <w:szCs w:val="22"/>
        </w:rPr>
        <w:t>Strengths</w:t>
      </w:r>
      <w:r w:rsidRPr="008B544C">
        <w:rPr>
          <w:rFonts w:ascii="Arial" w:hAnsi="Arial" w:cs="Arial"/>
          <w:sz w:val="22"/>
          <w:szCs w:val="22"/>
        </w:rPr>
        <w:t>:</w:t>
      </w:r>
    </w:p>
    <w:p w14:paraId="2ACFCFDF" w14:textId="77777777" w:rsidR="003761B4" w:rsidRPr="008B544C" w:rsidRDefault="003761B4" w:rsidP="003761B4">
      <w:pPr>
        <w:numPr>
          <w:ilvl w:val="0"/>
          <w:numId w:val="6"/>
        </w:numPr>
        <w:rPr>
          <w:rFonts w:ascii="Arial" w:hAnsi="Arial" w:cs="Arial"/>
          <w:sz w:val="22"/>
          <w:szCs w:val="22"/>
        </w:rPr>
      </w:pPr>
      <w:r w:rsidRPr="008B544C">
        <w:rPr>
          <w:rFonts w:ascii="Arial" w:hAnsi="Arial" w:cs="Arial"/>
          <w:sz w:val="22"/>
          <w:szCs w:val="22"/>
        </w:rPr>
        <w:t>The forward-looking nature of the DCF method aligns well with the expected cash flow stability of TA post-acquisition (Koller et al., 2020).</w:t>
      </w:r>
    </w:p>
    <w:p w14:paraId="01665F21" w14:textId="77777777" w:rsidR="003761B4" w:rsidRPr="008B544C" w:rsidRDefault="003761B4" w:rsidP="003761B4">
      <w:pPr>
        <w:rPr>
          <w:rFonts w:ascii="Arial" w:hAnsi="Arial" w:cs="Arial"/>
          <w:sz w:val="22"/>
          <w:szCs w:val="22"/>
        </w:rPr>
      </w:pPr>
      <w:r w:rsidRPr="008B544C">
        <w:rPr>
          <w:rFonts w:ascii="Arial" w:hAnsi="Arial" w:cs="Arial"/>
          <w:b/>
          <w:bCs/>
          <w:sz w:val="22"/>
          <w:szCs w:val="22"/>
        </w:rPr>
        <w:lastRenderedPageBreak/>
        <w:t>Limitations</w:t>
      </w:r>
      <w:r w:rsidRPr="008B544C">
        <w:rPr>
          <w:rFonts w:ascii="Arial" w:hAnsi="Arial" w:cs="Arial"/>
          <w:sz w:val="22"/>
          <w:szCs w:val="22"/>
        </w:rPr>
        <w:t>:</w:t>
      </w:r>
    </w:p>
    <w:p w14:paraId="4F5C228B" w14:textId="77777777" w:rsidR="003761B4" w:rsidRPr="008B544C" w:rsidRDefault="003761B4" w:rsidP="003761B4">
      <w:pPr>
        <w:numPr>
          <w:ilvl w:val="0"/>
          <w:numId w:val="7"/>
        </w:numPr>
        <w:rPr>
          <w:rFonts w:ascii="Arial" w:hAnsi="Arial" w:cs="Arial"/>
          <w:sz w:val="22"/>
          <w:szCs w:val="22"/>
        </w:rPr>
      </w:pPr>
      <w:r w:rsidRPr="008B544C">
        <w:rPr>
          <w:rFonts w:ascii="Arial" w:hAnsi="Arial" w:cs="Arial"/>
          <w:b/>
          <w:bCs/>
          <w:sz w:val="22"/>
          <w:szCs w:val="22"/>
        </w:rPr>
        <w:t>Assumption Sensitivity</w:t>
      </w:r>
      <w:r w:rsidRPr="008B544C">
        <w:rPr>
          <w:rFonts w:ascii="Arial" w:hAnsi="Arial" w:cs="Arial"/>
          <w:sz w:val="22"/>
          <w:szCs w:val="22"/>
        </w:rPr>
        <w:t>: The methodology is highly sensitive to its underlying assumptions regarding growth rates and capital costs; even minor variations can significantly impact valuation outcomes (Francis &amp; Wang, 2019).</w:t>
      </w:r>
    </w:p>
    <w:p w14:paraId="1CA6191F" w14:textId="77777777" w:rsidR="003761B4" w:rsidRPr="008B544C" w:rsidRDefault="003761B4" w:rsidP="003761B4">
      <w:pPr>
        <w:numPr>
          <w:ilvl w:val="0"/>
          <w:numId w:val="7"/>
        </w:numPr>
        <w:rPr>
          <w:rFonts w:ascii="Arial" w:hAnsi="Arial" w:cs="Arial"/>
          <w:sz w:val="22"/>
          <w:szCs w:val="22"/>
        </w:rPr>
      </w:pPr>
      <w:r w:rsidRPr="008B544C">
        <w:rPr>
          <w:rFonts w:ascii="Arial" w:hAnsi="Arial" w:cs="Arial"/>
          <w:b/>
          <w:bCs/>
          <w:sz w:val="22"/>
          <w:szCs w:val="22"/>
        </w:rPr>
        <w:t>Economic Volatility</w:t>
      </w:r>
      <w:r w:rsidRPr="008B544C">
        <w:rPr>
          <w:rFonts w:ascii="Arial" w:hAnsi="Arial" w:cs="Arial"/>
          <w:sz w:val="22"/>
          <w:szCs w:val="22"/>
        </w:rPr>
        <w:t>: The COVID-19 pandemic has introduced substantial uncertainty, undermining the reliability of prior cash flow estimates and challenging the sustainability of projected EBIT margins (Harris, 2007).</w:t>
      </w:r>
    </w:p>
    <w:p w14:paraId="2B1E8B69" w14:textId="77777777" w:rsidR="003761B4" w:rsidRPr="008B544C" w:rsidRDefault="003761B4" w:rsidP="003761B4">
      <w:pPr>
        <w:rPr>
          <w:rFonts w:ascii="Arial" w:hAnsi="Arial" w:cs="Arial"/>
          <w:b/>
          <w:bCs/>
          <w:sz w:val="22"/>
          <w:szCs w:val="22"/>
        </w:rPr>
      </w:pPr>
      <w:r w:rsidRPr="008B544C">
        <w:rPr>
          <w:rFonts w:ascii="Arial" w:hAnsi="Arial" w:cs="Arial"/>
          <w:b/>
          <w:bCs/>
          <w:sz w:val="22"/>
          <w:szCs w:val="22"/>
        </w:rPr>
        <w:t>2. Comparable Companies Analysis (CCA)</w:t>
      </w:r>
    </w:p>
    <w:p w14:paraId="4DD70A1E" w14:textId="77777777" w:rsidR="003761B4" w:rsidRPr="008B544C" w:rsidRDefault="003761B4" w:rsidP="003761B4">
      <w:pPr>
        <w:numPr>
          <w:ilvl w:val="0"/>
          <w:numId w:val="8"/>
        </w:numPr>
        <w:rPr>
          <w:rFonts w:ascii="Arial" w:hAnsi="Arial" w:cs="Arial"/>
          <w:sz w:val="22"/>
          <w:szCs w:val="22"/>
        </w:rPr>
      </w:pPr>
      <w:r w:rsidRPr="008B544C">
        <w:rPr>
          <w:rFonts w:ascii="Arial" w:hAnsi="Arial" w:cs="Arial"/>
          <w:b/>
          <w:bCs/>
          <w:sz w:val="22"/>
          <w:szCs w:val="22"/>
        </w:rPr>
        <w:t>Application</w:t>
      </w:r>
      <w:r w:rsidRPr="008B544C">
        <w:rPr>
          <w:rFonts w:ascii="Arial" w:hAnsi="Arial" w:cs="Arial"/>
          <w:sz w:val="22"/>
          <w:szCs w:val="22"/>
        </w:rPr>
        <w:t>: This approach employs market multiples, such as a price-to-earnings (P/E) ratio of 4.06, to assess TA's valuation relative to peer companies (Brealey et al., 2020).</w:t>
      </w:r>
    </w:p>
    <w:p w14:paraId="4DAC0BF8" w14:textId="77777777" w:rsidR="003761B4" w:rsidRPr="008B544C" w:rsidRDefault="003761B4" w:rsidP="003761B4">
      <w:pPr>
        <w:rPr>
          <w:rFonts w:ascii="Arial" w:hAnsi="Arial" w:cs="Arial"/>
          <w:sz w:val="22"/>
          <w:szCs w:val="22"/>
        </w:rPr>
      </w:pPr>
      <w:r w:rsidRPr="008B544C">
        <w:rPr>
          <w:rFonts w:ascii="Arial" w:hAnsi="Arial" w:cs="Arial"/>
          <w:b/>
          <w:bCs/>
          <w:sz w:val="22"/>
          <w:szCs w:val="22"/>
        </w:rPr>
        <w:t>Strengths</w:t>
      </w:r>
      <w:r w:rsidRPr="008B544C">
        <w:rPr>
          <w:rFonts w:ascii="Arial" w:hAnsi="Arial" w:cs="Arial"/>
          <w:sz w:val="22"/>
          <w:szCs w:val="22"/>
        </w:rPr>
        <w:t>:</w:t>
      </w:r>
    </w:p>
    <w:p w14:paraId="5C541896" w14:textId="77777777" w:rsidR="003761B4" w:rsidRPr="008B544C" w:rsidRDefault="003761B4" w:rsidP="003761B4">
      <w:pPr>
        <w:numPr>
          <w:ilvl w:val="0"/>
          <w:numId w:val="9"/>
        </w:numPr>
        <w:rPr>
          <w:rFonts w:ascii="Arial" w:hAnsi="Arial" w:cs="Arial"/>
          <w:sz w:val="22"/>
          <w:szCs w:val="22"/>
        </w:rPr>
      </w:pPr>
      <w:r w:rsidRPr="008B544C">
        <w:rPr>
          <w:rFonts w:ascii="Arial" w:hAnsi="Arial" w:cs="Arial"/>
          <w:sz w:val="22"/>
          <w:szCs w:val="22"/>
        </w:rPr>
        <w:t>The CCA reflects current market sentiment and peer valuations, providing a relevant benchmark for assessment (Johnson, 2023).</w:t>
      </w:r>
    </w:p>
    <w:p w14:paraId="21401720" w14:textId="77777777" w:rsidR="003761B4" w:rsidRPr="008B544C" w:rsidRDefault="003761B4" w:rsidP="003761B4">
      <w:pPr>
        <w:rPr>
          <w:rFonts w:ascii="Arial" w:hAnsi="Arial" w:cs="Arial"/>
          <w:sz w:val="22"/>
          <w:szCs w:val="22"/>
        </w:rPr>
      </w:pPr>
      <w:r w:rsidRPr="008B544C">
        <w:rPr>
          <w:rFonts w:ascii="Arial" w:hAnsi="Arial" w:cs="Arial"/>
          <w:b/>
          <w:bCs/>
          <w:sz w:val="22"/>
          <w:szCs w:val="22"/>
        </w:rPr>
        <w:t>Limitations</w:t>
      </w:r>
      <w:r w:rsidRPr="008B544C">
        <w:rPr>
          <w:rFonts w:ascii="Arial" w:hAnsi="Arial" w:cs="Arial"/>
          <w:sz w:val="22"/>
          <w:szCs w:val="22"/>
        </w:rPr>
        <w:t>:</w:t>
      </w:r>
    </w:p>
    <w:p w14:paraId="32C3D7EE" w14:textId="77777777" w:rsidR="003761B4" w:rsidRPr="008B544C" w:rsidRDefault="003761B4" w:rsidP="003761B4">
      <w:pPr>
        <w:numPr>
          <w:ilvl w:val="0"/>
          <w:numId w:val="10"/>
        </w:numPr>
        <w:rPr>
          <w:rFonts w:ascii="Arial" w:hAnsi="Arial" w:cs="Arial"/>
          <w:sz w:val="22"/>
          <w:szCs w:val="22"/>
        </w:rPr>
      </w:pPr>
      <w:r w:rsidRPr="008B544C">
        <w:rPr>
          <w:rFonts w:ascii="Arial" w:hAnsi="Arial" w:cs="Arial"/>
          <w:b/>
          <w:bCs/>
          <w:sz w:val="22"/>
          <w:szCs w:val="22"/>
        </w:rPr>
        <w:t>Comparability Issues</w:t>
      </w:r>
      <w:r w:rsidRPr="008B544C">
        <w:rPr>
          <w:rFonts w:ascii="Arial" w:hAnsi="Arial" w:cs="Arial"/>
          <w:sz w:val="22"/>
          <w:szCs w:val="22"/>
        </w:rPr>
        <w:t>: TA's distinct operational focus and anticipated post-acquisition synergies may render it less comparable to other firms, skewing valuation metrics.</w:t>
      </w:r>
    </w:p>
    <w:p w14:paraId="1E3F8CDF" w14:textId="77777777" w:rsidR="003761B4" w:rsidRPr="008B544C" w:rsidRDefault="003761B4" w:rsidP="003761B4">
      <w:pPr>
        <w:numPr>
          <w:ilvl w:val="0"/>
          <w:numId w:val="10"/>
        </w:numPr>
        <w:rPr>
          <w:rFonts w:ascii="Arial" w:hAnsi="Arial" w:cs="Arial"/>
          <w:sz w:val="22"/>
          <w:szCs w:val="22"/>
        </w:rPr>
      </w:pPr>
      <w:r w:rsidRPr="008B544C">
        <w:rPr>
          <w:rFonts w:ascii="Arial" w:hAnsi="Arial" w:cs="Arial"/>
          <w:b/>
          <w:bCs/>
          <w:sz w:val="22"/>
          <w:szCs w:val="22"/>
        </w:rPr>
        <w:t>Market Perception</w:t>
      </w:r>
      <w:r w:rsidRPr="008B544C">
        <w:rPr>
          <w:rFonts w:ascii="Arial" w:hAnsi="Arial" w:cs="Arial"/>
          <w:sz w:val="22"/>
          <w:szCs w:val="22"/>
        </w:rPr>
        <w:t>: Investor sentiment, particularly in light of the pandemic, has led to volatility in market multiples, potentially misrepresenting TA's intrinsic value.</w:t>
      </w:r>
    </w:p>
    <w:p w14:paraId="070BFE76" w14:textId="77777777" w:rsidR="003761B4" w:rsidRPr="008B544C" w:rsidRDefault="003761B4" w:rsidP="003761B4">
      <w:pPr>
        <w:rPr>
          <w:rFonts w:ascii="Arial" w:hAnsi="Arial" w:cs="Arial"/>
          <w:b/>
          <w:bCs/>
          <w:sz w:val="22"/>
          <w:szCs w:val="22"/>
        </w:rPr>
      </w:pPr>
      <w:r w:rsidRPr="008B544C">
        <w:rPr>
          <w:rFonts w:ascii="Arial" w:hAnsi="Arial" w:cs="Arial"/>
          <w:b/>
          <w:bCs/>
          <w:sz w:val="22"/>
          <w:szCs w:val="22"/>
        </w:rPr>
        <w:t>3. Precedent Transactions</w:t>
      </w:r>
    </w:p>
    <w:p w14:paraId="722DB83A" w14:textId="77777777" w:rsidR="003761B4" w:rsidRPr="008B544C" w:rsidRDefault="003761B4" w:rsidP="003761B4">
      <w:pPr>
        <w:numPr>
          <w:ilvl w:val="0"/>
          <w:numId w:val="11"/>
        </w:numPr>
        <w:rPr>
          <w:rFonts w:ascii="Arial" w:hAnsi="Arial" w:cs="Arial"/>
          <w:sz w:val="22"/>
          <w:szCs w:val="22"/>
        </w:rPr>
      </w:pPr>
      <w:r w:rsidRPr="008B544C">
        <w:rPr>
          <w:rFonts w:ascii="Arial" w:hAnsi="Arial" w:cs="Arial"/>
          <w:b/>
          <w:bCs/>
          <w:sz w:val="22"/>
          <w:szCs w:val="22"/>
        </w:rPr>
        <w:t>Application</w:t>
      </w:r>
      <w:r w:rsidRPr="008B544C">
        <w:rPr>
          <w:rFonts w:ascii="Arial" w:hAnsi="Arial" w:cs="Arial"/>
          <w:sz w:val="22"/>
          <w:szCs w:val="22"/>
        </w:rPr>
        <w:t>: This method reviews historical sector acquisitions to establish a range for potential bids, ensuring consistency with comparable deals (Harris, 2007).</w:t>
      </w:r>
    </w:p>
    <w:p w14:paraId="5F016E39" w14:textId="77777777" w:rsidR="003761B4" w:rsidRPr="008B544C" w:rsidRDefault="003761B4" w:rsidP="003761B4">
      <w:pPr>
        <w:rPr>
          <w:rFonts w:ascii="Arial" w:hAnsi="Arial" w:cs="Arial"/>
          <w:sz w:val="22"/>
          <w:szCs w:val="22"/>
        </w:rPr>
      </w:pPr>
      <w:r w:rsidRPr="008B544C">
        <w:rPr>
          <w:rFonts w:ascii="Arial" w:hAnsi="Arial" w:cs="Arial"/>
          <w:b/>
          <w:bCs/>
          <w:sz w:val="22"/>
          <w:szCs w:val="22"/>
        </w:rPr>
        <w:t>Strengths</w:t>
      </w:r>
      <w:r w:rsidRPr="008B544C">
        <w:rPr>
          <w:rFonts w:ascii="Arial" w:hAnsi="Arial" w:cs="Arial"/>
          <w:sz w:val="22"/>
          <w:szCs w:val="22"/>
        </w:rPr>
        <w:t>:</w:t>
      </w:r>
    </w:p>
    <w:p w14:paraId="54EE62F0" w14:textId="77777777" w:rsidR="003761B4" w:rsidRPr="008B544C" w:rsidRDefault="003761B4" w:rsidP="003761B4">
      <w:pPr>
        <w:numPr>
          <w:ilvl w:val="0"/>
          <w:numId w:val="12"/>
        </w:numPr>
        <w:rPr>
          <w:rFonts w:ascii="Arial" w:hAnsi="Arial" w:cs="Arial"/>
          <w:sz w:val="22"/>
          <w:szCs w:val="22"/>
        </w:rPr>
      </w:pPr>
      <w:r w:rsidRPr="008B544C">
        <w:rPr>
          <w:rFonts w:ascii="Arial" w:hAnsi="Arial" w:cs="Arial"/>
          <w:sz w:val="22"/>
          <w:szCs w:val="22"/>
        </w:rPr>
        <w:t>The precedent transactions approach captures acquisition premiums and strategic synergies prevalent in the industry (Brealey et al., 2020).</w:t>
      </w:r>
    </w:p>
    <w:p w14:paraId="5856700C" w14:textId="77777777" w:rsidR="003761B4" w:rsidRPr="008B544C" w:rsidRDefault="003761B4" w:rsidP="003761B4">
      <w:pPr>
        <w:rPr>
          <w:rFonts w:ascii="Arial" w:hAnsi="Arial" w:cs="Arial"/>
          <w:sz w:val="22"/>
          <w:szCs w:val="22"/>
        </w:rPr>
      </w:pPr>
      <w:r w:rsidRPr="008B544C">
        <w:rPr>
          <w:rFonts w:ascii="Arial" w:hAnsi="Arial" w:cs="Arial"/>
          <w:b/>
          <w:bCs/>
          <w:sz w:val="22"/>
          <w:szCs w:val="22"/>
        </w:rPr>
        <w:t>Limitations</w:t>
      </w:r>
      <w:r w:rsidRPr="008B544C">
        <w:rPr>
          <w:rFonts w:ascii="Arial" w:hAnsi="Arial" w:cs="Arial"/>
          <w:sz w:val="22"/>
          <w:szCs w:val="22"/>
        </w:rPr>
        <w:t>:</w:t>
      </w:r>
    </w:p>
    <w:p w14:paraId="0715548E" w14:textId="77777777" w:rsidR="003761B4" w:rsidRPr="008B544C" w:rsidRDefault="003761B4" w:rsidP="003761B4">
      <w:pPr>
        <w:numPr>
          <w:ilvl w:val="0"/>
          <w:numId w:val="13"/>
        </w:numPr>
        <w:rPr>
          <w:rFonts w:ascii="Arial" w:hAnsi="Arial" w:cs="Arial"/>
          <w:sz w:val="22"/>
          <w:szCs w:val="22"/>
        </w:rPr>
      </w:pPr>
      <w:r w:rsidRPr="008B544C">
        <w:rPr>
          <w:rFonts w:ascii="Arial" w:hAnsi="Arial" w:cs="Arial"/>
          <w:sz w:val="22"/>
          <w:szCs w:val="22"/>
        </w:rPr>
        <w:t>Data derived from transactions executed prior to the pandemic may not accurately reflect current economic conditions, leading to misaligned valuations (Harris, 2007).</w:t>
      </w:r>
    </w:p>
    <w:p w14:paraId="5859770B" w14:textId="1930668E" w:rsidR="003761B4" w:rsidRPr="008B544C" w:rsidRDefault="00ED61A5" w:rsidP="003761B4">
      <w:pPr>
        <w:rPr>
          <w:rFonts w:ascii="Arial" w:hAnsi="Arial" w:cs="Arial"/>
          <w:b/>
          <w:bCs/>
          <w:sz w:val="22"/>
          <w:szCs w:val="22"/>
        </w:rPr>
      </w:pPr>
      <w:r w:rsidRPr="008B544C">
        <w:rPr>
          <w:rFonts w:ascii="Arial" w:hAnsi="Arial" w:cs="Arial"/>
          <w:b/>
          <w:bCs/>
          <w:sz w:val="22"/>
          <w:szCs w:val="22"/>
        </w:rPr>
        <w:t xml:space="preserve">4.1  </w:t>
      </w:r>
      <w:r w:rsidR="003761B4" w:rsidRPr="008B544C">
        <w:rPr>
          <w:rFonts w:ascii="Arial" w:hAnsi="Arial" w:cs="Arial"/>
          <w:b/>
          <w:bCs/>
          <w:sz w:val="22"/>
          <w:szCs w:val="22"/>
        </w:rPr>
        <w:t>Challenges in Achieving Anticipated Gains</w:t>
      </w:r>
    </w:p>
    <w:p w14:paraId="7B38C852" w14:textId="77777777" w:rsidR="003761B4" w:rsidRPr="008B544C" w:rsidRDefault="003761B4" w:rsidP="003761B4">
      <w:pPr>
        <w:numPr>
          <w:ilvl w:val="0"/>
          <w:numId w:val="14"/>
        </w:numPr>
        <w:rPr>
          <w:rFonts w:ascii="Arial" w:hAnsi="Arial" w:cs="Arial"/>
          <w:sz w:val="22"/>
          <w:szCs w:val="22"/>
        </w:rPr>
      </w:pPr>
      <w:r w:rsidRPr="008B544C">
        <w:rPr>
          <w:rFonts w:ascii="Arial" w:hAnsi="Arial" w:cs="Arial"/>
          <w:b/>
          <w:bCs/>
          <w:sz w:val="22"/>
          <w:szCs w:val="22"/>
        </w:rPr>
        <w:t>COVID-19 Impact</w:t>
      </w:r>
      <w:r w:rsidRPr="008B544C">
        <w:rPr>
          <w:rFonts w:ascii="Arial" w:hAnsi="Arial" w:cs="Arial"/>
          <w:sz w:val="22"/>
          <w:szCs w:val="22"/>
        </w:rPr>
        <w:t>: The pandemic has disrupted supply chains and diminished travel demand, adversely affecting revenue growth and EBIT stability estimates (Johnson, 2023).</w:t>
      </w:r>
    </w:p>
    <w:p w14:paraId="4C69DE23" w14:textId="77777777" w:rsidR="003761B4" w:rsidRPr="008B544C" w:rsidRDefault="003761B4" w:rsidP="003761B4">
      <w:pPr>
        <w:numPr>
          <w:ilvl w:val="0"/>
          <w:numId w:val="14"/>
        </w:numPr>
        <w:rPr>
          <w:rFonts w:ascii="Arial" w:hAnsi="Arial" w:cs="Arial"/>
          <w:sz w:val="22"/>
          <w:szCs w:val="22"/>
        </w:rPr>
      </w:pPr>
      <w:r w:rsidRPr="008B544C">
        <w:rPr>
          <w:rFonts w:ascii="Arial" w:hAnsi="Arial" w:cs="Arial"/>
          <w:b/>
          <w:bCs/>
          <w:sz w:val="22"/>
          <w:szCs w:val="22"/>
        </w:rPr>
        <w:t>Synergy Realization Risks</w:t>
      </w:r>
      <w:r w:rsidRPr="008B544C">
        <w:rPr>
          <w:rFonts w:ascii="Arial" w:hAnsi="Arial" w:cs="Arial"/>
          <w:sz w:val="22"/>
          <w:szCs w:val="22"/>
        </w:rPr>
        <w:t>: Cultural and logistical integration challenges may impede the realization of anticipated cost reductions (Graham &amp; Dodd, 2008).</w:t>
      </w:r>
    </w:p>
    <w:p w14:paraId="147BB15F" w14:textId="77777777" w:rsidR="003761B4" w:rsidRPr="008B544C" w:rsidRDefault="003761B4" w:rsidP="003761B4">
      <w:pPr>
        <w:numPr>
          <w:ilvl w:val="0"/>
          <w:numId w:val="14"/>
        </w:numPr>
        <w:rPr>
          <w:rFonts w:ascii="Arial" w:hAnsi="Arial" w:cs="Arial"/>
          <w:sz w:val="22"/>
          <w:szCs w:val="22"/>
        </w:rPr>
      </w:pPr>
      <w:r w:rsidRPr="008B544C">
        <w:rPr>
          <w:rFonts w:ascii="Arial" w:hAnsi="Arial" w:cs="Arial"/>
          <w:b/>
          <w:bCs/>
          <w:sz w:val="22"/>
          <w:szCs w:val="22"/>
        </w:rPr>
        <w:lastRenderedPageBreak/>
        <w:t>Regulatory Scrutiny</w:t>
      </w:r>
      <w:r w:rsidRPr="008B544C">
        <w:rPr>
          <w:rFonts w:ascii="Arial" w:hAnsi="Arial" w:cs="Arial"/>
          <w:sz w:val="22"/>
          <w:szCs w:val="22"/>
        </w:rPr>
        <w:t>: Antitrust considerations could jeopardize BP's market share gains, especially in the context of heightened competition from Shell (Johnson, 2023).</w:t>
      </w:r>
    </w:p>
    <w:p w14:paraId="68503604" w14:textId="77777777" w:rsidR="003761B4" w:rsidRPr="008B544C" w:rsidRDefault="003761B4" w:rsidP="003761B4">
      <w:pPr>
        <w:numPr>
          <w:ilvl w:val="0"/>
          <w:numId w:val="14"/>
        </w:numPr>
        <w:rPr>
          <w:rFonts w:ascii="Arial" w:hAnsi="Arial" w:cs="Arial"/>
          <w:sz w:val="22"/>
          <w:szCs w:val="22"/>
        </w:rPr>
      </w:pPr>
      <w:r w:rsidRPr="008B544C">
        <w:rPr>
          <w:rFonts w:ascii="Arial" w:hAnsi="Arial" w:cs="Arial"/>
          <w:b/>
          <w:bCs/>
          <w:sz w:val="22"/>
          <w:szCs w:val="22"/>
        </w:rPr>
        <w:t>Rising Interest Rates</w:t>
      </w:r>
      <w:r w:rsidRPr="008B544C">
        <w:rPr>
          <w:rFonts w:ascii="Arial" w:hAnsi="Arial" w:cs="Arial"/>
          <w:sz w:val="22"/>
          <w:szCs w:val="22"/>
        </w:rPr>
        <w:t>: Increasing interest rates may elevate financing costs, thereby impacting the feasibility of BP's strategic objectives (Watson &amp; Head, 2017).</w:t>
      </w:r>
    </w:p>
    <w:p w14:paraId="6835339B" w14:textId="77777777" w:rsidR="003761B4" w:rsidRPr="008B544C" w:rsidRDefault="003761B4" w:rsidP="003761B4">
      <w:pPr>
        <w:numPr>
          <w:ilvl w:val="0"/>
          <w:numId w:val="14"/>
        </w:numPr>
        <w:rPr>
          <w:rFonts w:ascii="Arial" w:hAnsi="Arial" w:cs="Arial"/>
          <w:sz w:val="22"/>
          <w:szCs w:val="22"/>
        </w:rPr>
      </w:pPr>
      <w:r w:rsidRPr="008B544C">
        <w:rPr>
          <w:rFonts w:ascii="Arial" w:hAnsi="Arial" w:cs="Arial"/>
          <w:b/>
          <w:bCs/>
          <w:sz w:val="22"/>
          <w:szCs w:val="22"/>
        </w:rPr>
        <w:t>Sustainability Considerations</w:t>
      </w:r>
      <w:r w:rsidRPr="008B544C">
        <w:rPr>
          <w:rFonts w:ascii="Arial" w:hAnsi="Arial" w:cs="Arial"/>
          <w:sz w:val="22"/>
          <w:szCs w:val="22"/>
        </w:rPr>
        <w:t>: Heightened expectations regarding environmental, social, and governance (ESG) factors may impose additional operational costs on BP, thereby affecting net gains (Shell Annual Report, 2022).</w:t>
      </w:r>
    </w:p>
    <w:p w14:paraId="5C09C0AF" w14:textId="77777777" w:rsidR="003761B4" w:rsidRPr="008B544C" w:rsidRDefault="003761B4" w:rsidP="003761B4">
      <w:pPr>
        <w:rPr>
          <w:rFonts w:ascii="Arial" w:hAnsi="Arial" w:cs="Arial"/>
          <w:sz w:val="22"/>
          <w:szCs w:val="22"/>
        </w:rPr>
      </w:pPr>
    </w:p>
    <w:p w14:paraId="7BF0C382" w14:textId="77777777" w:rsidR="00E129A4" w:rsidRPr="008B544C" w:rsidRDefault="00E129A4" w:rsidP="003761B4">
      <w:pPr>
        <w:rPr>
          <w:rFonts w:ascii="Arial" w:hAnsi="Arial" w:cs="Arial"/>
          <w:b/>
          <w:bCs/>
          <w:sz w:val="22"/>
          <w:szCs w:val="22"/>
        </w:rPr>
      </w:pPr>
    </w:p>
    <w:p w14:paraId="54A7DDA8" w14:textId="77777777" w:rsidR="00E129A4" w:rsidRPr="008B544C" w:rsidRDefault="00E129A4" w:rsidP="003761B4">
      <w:pPr>
        <w:rPr>
          <w:rFonts w:ascii="Arial" w:hAnsi="Arial" w:cs="Arial"/>
          <w:b/>
          <w:bCs/>
          <w:sz w:val="22"/>
          <w:szCs w:val="22"/>
        </w:rPr>
      </w:pPr>
    </w:p>
    <w:p w14:paraId="2D66F7DC" w14:textId="57EF3E88" w:rsidR="003761B4" w:rsidRPr="008B544C" w:rsidRDefault="003761B4" w:rsidP="003761B4">
      <w:pPr>
        <w:rPr>
          <w:rFonts w:ascii="Arial" w:hAnsi="Arial" w:cs="Arial"/>
          <w:sz w:val="22"/>
          <w:szCs w:val="22"/>
        </w:rPr>
      </w:pPr>
    </w:p>
    <w:p w14:paraId="3B91C557" w14:textId="77777777" w:rsidR="00E06B2A" w:rsidRPr="008B544C" w:rsidRDefault="00E06B2A" w:rsidP="003761B4">
      <w:pPr>
        <w:rPr>
          <w:rFonts w:ascii="Arial" w:hAnsi="Arial" w:cs="Arial"/>
          <w:sz w:val="22"/>
          <w:szCs w:val="22"/>
        </w:rPr>
      </w:pPr>
    </w:p>
    <w:p w14:paraId="27E2E4B2" w14:textId="131A2BA3" w:rsidR="00E06B2A" w:rsidRPr="008B544C" w:rsidRDefault="00E06B2A" w:rsidP="003761B4">
      <w:pPr>
        <w:rPr>
          <w:rFonts w:ascii="Arial" w:hAnsi="Arial" w:cs="Arial"/>
          <w:sz w:val="22"/>
          <w:szCs w:val="22"/>
        </w:rPr>
      </w:pPr>
      <w:r w:rsidRPr="008B544C">
        <w:rPr>
          <w:rFonts w:ascii="Arial" w:hAnsi="Arial" w:cs="Arial"/>
          <w:sz w:val="22"/>
          <w:szCs w:val="22"/>
        </w:rPr>
        <w:br/>
      </w:r>
    </w:p>
    <w:p w14:paraId="0184CBBC" w14:textId="77777777" w:rsidR="00C96F01" w:rsidRPr="008B544C" w:rsidRDefault="00C96F01" w:rsidP="003761B4">
      <w:pPr>
        <w:rPr>
          <w:rFonts w:ascii="Arial" w:hAnsi="Arial" w:cs="Arial"/>
          <w:sz w:val="22"/>
          <w:szCs w:val="22"/>
        </w:rPr>
      </w:pPr>
    </w:p>
    <w:p w14:paraId="3A6DE189" w14:textId="77777777" w:rsidR="00C96F01" w:rsidRPr="008B544C" w:rsidRDefault="00C96F01" w:rsidP="003761B4">
      <w:pPr>
        <w:rPr>
          <w:rFonts w:ascii="Arial" w:hAnsi="Arial" w:cs="Arial"/>
          <w:sz w:val="22"/>
          <w:szCs w:val="22"/>
        </w:rPr>
      </w:pPr>
    </w:p>
    <w:p w14:paraId="4691D4ED" w14:textId="77777777" w:rsidR="00C96F01" w:rsidRPr="008B544C" w:rsidRDefault="00C96F01" w:rsidP="003761B4">
      <w:pPr>
        <w:rPr>
          <w:rFonts w:ascii="Arial" w:hAnsi="Arial" w:cs="Arial"/>
          <w:sz w:val="22"/>
          <w:szCs w:val="22"/>
        </w:rPr>
      </w:pPr>
    </w:p>
    <w:p w14:paraId="660477D5" w14:textId="77777777" w:rsidR="00C96F01" w:rsidRPr="008B544C" w:rsidRDefault="00C96F01" w:rsidP="003761B4">
      <w:pPr>
        <w:rPr>
          <w:rFonts w:ascii="Arial" w:hAnsi="Arial" w:cs="Arial"/>
          <w:sz w:val="22"/>
          <w:szCs w:val="22"/>
        </w:rPr>
      </w:pPr>
    </w:p>
    <w:p w14:paraId="533D191A" w14:textId="77777777" w:rsidR="00C96F01" w:rsidRPr="008B544C" w:rsidRDefault="00C96F01" w:rsidP="003761B4">
      <w:pPr>
        <w:rPr>
          <w:rFonts w:ascii="Arial" w:hAnsi="Arial" w:cs="Arial"/>
          <w:sz w:val="22"/>
          <w:szCs w:val="22"/>
        </w:rPr>
      </w:pPr>
    </w:p>
    <w:p w14:paraId="0C368C33" w14:textId="77777777" w:rsidR="00C96F01" w:rsidRPr="008B544C" w:rsidRDefault="00C96F01" w:rsidP="003761B4">
      <w:pPr>
        <w:rPr>
          <w:rFonts w:ascii="Arial" w:hAnsi="Arial" w:cs="Arial"/>
          <w:sz w:val="22"/>
          <w:szCs w:val="22"/>
        </w:rPr>
      </w:pPr>
    </w:p>
    <w:p w14:paraId="48F861C8" w14:textId="77777777" w:rsidR="00C96F01" w:rsidRPr="008B544C" w:rsidRDefault="00C96F01" w:rsidP="003761B4">
      <w:pPr>
        <w:rPr>
          <w:rFonts w:ascii="Arial" w:hAnsi="Arial" w:cs="Arial"/>
          <w:sz w:val="22"/>
          <w:szCs w:val="22"/>
        </w:rPr>
      </w:pPr>
    </w:p>
    <w:p w14:paraId="5F86A0C8" w14:textId="77777777" w:rsidR="00C96F01" w:rsidRPr="008B544C" w:rsidRDefault="00C96F01" w:rsidP="003761B4">
      <w:pPr>
        <w:rPr>
          <w:rFonts w:ascii="Arial" w:hAnsi="Arial" w:cs="Arial"/>
          <w:sz w:val="22"/>
          <w:szCs w:val="22"/>
        </w:rPr>
      </w:pPr>
    </w:p>
    <w:p w14:paraId="19ADC3D0" w14:textId="77777777" w:rsidR="00C96F01" w:rsidRPr="008B544C" w:rsidRDefault="00C96F01" w:rsidP="003761B4">
      <w:pPr>
        <w:rPr>
          <w:rFonts w:ascii="Arial" w:hAnsi="Arial" w:cs="Arial"/>
          <w:sz w:val="22"/>
          <w:szCs w:val="22"/>
        </w:rPr>
      </w:pPr>
    </w:p>
    <w:p w14:paraId="6C6C3014" w14:textId="77777777" w:rsidR="00C96F01" w:rsidRPr="008B544C" w:rsidRDefault="00C96F01" w:rsidP="003761B4">
      <w:pPr>
        <w:rPr>
          <w:rFonts w:ascii="Arial" w:hAnsi="Arial" w:cs="Arial"/>
          <w:sz w:val="22"/>
          <w:szCs w:val="22"/>
        </w:rPr>
      </w:pPr>
    </w:p>
    <w:p w14:paraId="1E0DB8A8" w14:textId="77777777" w:rsidR="00C96F01" w:rsidRPr="008B544C" w:rsidRDefault="00C96F01" w:rsidP="003761B4">
      <w:pPr>
        <w:rPr>
          <w:rFonts w:ascii="Arial" w:hAnsi="Arial" w:cs="Arial"/>
          <w:sz w:val="22"/>
          <w:szCs w:val="22"/>
        </w:rPr>
      </w:pPr>
    </w:p>
    <w:p w14:paraId="1AD9ACB8" w14:textId="77777777" w:rsidR="00C96F01" w:rsidRPr="008B544C" w:rsidRDefault="00C96F01" w:rsidP="003761B4">
      <w:pPr>
        <w:rPr>
          <w:rFonts w:ascii="Arial" w:hAnsi="Arial" w:cs="Arial"/>
          <w:sz w:val="22"/>
          <w:szCs w:val="22"/>
        </w:rPr>
      </w:pPr>
    </w:p>
    <w:p w14:paraId="0F6FFC0F" w14:textId="77777777" w:rsidR="00C96F01" w:rsidRPr="008B544C" w:rsidRDefault="00C96F01" w:rsidP="003761B4">
      <w:pPr>
        <w:rPr>
          <w:rFonts w:ascii="Arial" w:hAnsi="Arial" w:cs="Arial"/>
          <w:sz w:val="22"/>
          <w:szCs w:val="22"/>
        </w:rPr>
      </w:pPr>
    </w:p>
    <w:p w14:paraId="7A321CDB" w14:textId="77777777" w:rsidR="00C96F01" w:rsidRPr="008B544C" w:rsidRDefault="00C96F01" w:rsidP="003761B4">
      <w:pPr>
        <w:rPr>
          <w:rFonts w:ascii="Arial" w:hAnsi="Arial" w:cs="Arial"/>
          <w:sz w:val="22"/>
          <w:szCs w:val="22"/>
        </w:rPr>
      </w:pPr>
    </w:p>
    <w:p w14:paraId="1DA7BEB1" w14:textId="77777777" w:rsidR="00C96F01" w:rsidRPr="008B544C" w:rsidRDefault="00C96F01" w:rsidP="003761B4">
      <w:pPr>
        <w:rPr>
          <w:rFonts w:ascii="Arial" w:hAnsi="Arial" w:cs="Arial"/>
          <w:sz w:val="22"/>
          <w:szCs w:val="22"/>
        </w:rPr>
      </w:pPr>
    </w:p>
    <w:p w14:paraId="30D9D8ED" w14:textId="77777777" w:rsidR="00C96F01" w:rsidRPr="008B544C" w:rsidRDefault="00C96F01" w:rsidP="003761B4">
      <w:pPr>
        <w:rPr>
          <w:rFonts w:ascii="Arial" w:hAnsi="Arial" w:cs="Arial"/>
          <w:sz w:val="22"/>
          <w:szCs w:val="22"/>
        </w:rPr>
      </w:pPr>
    </w:p>
    <w:p w14:paraId="7F9D7AAB" w14:textId="77777777" w:rsidR="00C96F01" w:rsidRPr="008B544C" w:rsidRDefault="00C96F01" w:rsidP="003761B4">
      <w:pPr>
        <w:rPr>
          <w:rFonts w:ascii="Arial" w:hAnsi="Arial" w:cs="Arial"/>
          <w:sz w:val="22"/>
          <w:szCs w:val="22"/>
        </w:rPr>
      </w:pPr>
    </w:p>
    <w:p w14:paraId="2F532F01" w14:textId="77777777" w:rsidR="00C96F01" w:rsidRPr="008B544C" w:rsidRDefault="00C96F01" w:rsidP="003761B4">
      <w:pPr>
        <w:rPr>
          <w:rFonts w:ascii="Arial" w:hAnsi="Arial" w:cs="Arial"/>
          <w:sz w:val="22"/>
          <w:szCs w:val="22"/>
        </w:rPr>
      </w:pPr>
    </w:p>
    <w:p w14:paraId="7E5DB43E" w14:textId="77777777" w:rsidR="00C96F01" w:rsidRPr="008B544C" w:rsidRDefault="00C96F01" w:rsidP="003761B4">
      <w:pPr>
        <w:rPr>
          <w:rFonts w:ascii="Arial" w:hAnsi="Arial" w:cs="Arial"/>
          <w:sz w:val="22"/>
          <w:szCs w:val="22"/>
        </w:rPr>
      </w:pPr>
    </w:p>
    <w:p w14:paraId="71D0D175" w14:textId="77777777" w:rsidR="00C96F01" w:rsidRPr="008B544C" w:rsidRDefault="00C96F01" w:rsidP="003761B4">
      <w:pPr>
        <w:rPr>
          <w:rFonts w:ascii="Arial" w:hAnsi="Arial" w:cs="Arial"/>
          <w:sz w:val="22"/>
          <w:szCs w:val="22"/>
        </w:rPr>
      </w:pPr>
    </w:p>
    <w:p w14:paraId="02BBA8B0" w14:textId="055D09C2" w:rsidR="00E60120" w:rsidRPr="008B544C" w:rsidRDefault="00E60120" w:rsidP="00E60120">
      <w:pPr>
        <w:rPr>
          <w:rFonts w:ascii="Arial" w:hAnsi="Arial" w:cs="Arial"/>
          <w:sz w:val="22"/>
          <w:szCs w:val="22"/>
        </w:rPr>
      </w:pPr>
      <w:r w:rsidRPr="008B544C">
        <w:rPr>
          <w:rFonts w:ascii="Arial" w:hAnsi="Arial" w:cs="Arial"/>
          <w:b/>
          <w:bCs/>
          <w:sz w:val="22"/>
          <w:szCs w:val="22"/>
        </w:rPr>
        <w:t xml:space="preserve">Appendix </w:t>
      </w:r>
      <w:r w:rsidR="006B1F40" w:rsidRPr="008B544C">
        <w:rPr>
          <w:rFonts w:ascii="Arial" w:hAnsi="Arial" w:cs="Arial"/>
          <w:b/>
          <w:bCs/>
          <w:sz w:val="22"/>
          <w:szCs w:val="22"/>
        </w:rPr>
        <w:t>1</w:t>
      </w:r>
      <w:r w:rsidRPr="008B544C">
        <w:rPr>
          <w:rFonts w:ascii="Arial" w:hAnsi="Arial" w:cs="Arial"/>
          <w:b/>
          <w:bCs/>
          <w:sz w:val="22"/>
          <w:szCs w:val="22"/>
        </w:rPr>
        <w:t>: Learning Logs</w:t>
      </w:r>
    </w:p>
    <w:p w14:paraId="74431890" w14:textId="4F90AD8C" w:rsidR="00E60120" w:rsidRPr="008B544C" w:rsidRDefault="00E60120" w:rsidP="00E60120">
      <w:pPr>
        <w:rPr>
          <w:rFonts w:ascii="Arial" w:hAnsi="Arial" w:cs="Arial"/>
          <w:sz w:val="22"/>
          <w:szCs w:val="22"/>
        </w:rPr>
      </w:pPr>
      <w:r w:rsidRPr="008B544C">
        <w:rPr>
          <w:rFonts w:ascii="Arial" w:hAnsi="Arial" w:cs="Arial"/>
          <w:b/>
          <w:bCs/>
          <w:sz w:val="22"/>
          <w:szCs w:val="22"/>
        </w:rPr>
        <w:t>Name:</w:t>
      </w:r>
      <w:r w:rsidRPr="008B544C">
        <w:rPr>
          <w:rFonts w:ascii="Arial" w:hAnsi="Arial" w:cs="Arial"/>
          <w:sz w:val="22"/>
          <w:szCs w:val="22"/>
        </w:rPr>
        <w:t xml:space="preserve"> </w:t>
      </w:r>
      <w:r w:rsidR="002D3066" w:rsidRPr="008B544C">
        <w:rPr>
          <w:rFonts w:ascii="Arial" w:hAnsi="Arial" w:cs="Arial"/>
          <w:sz w:val="22"/>
          <w:szCs w:val="22"/>
        </w:rPr>
        <w:t>Konwea Dumebi Ogechukwu</w:t>
      </w:r>
      <w:r w:rsidRPr="008B544C">
        <w:rPr>
          <w:rFonts w:ascii="Arial" w:hAnsi="Arial" w:cs="Arial"/>
          <w:sz w:val="22"/>
          <w:szCs w:val="22"/>
        </w:rPr>
        <w:br/>
      </w:r>
      <w:r w:rsidRPr="008B544C">
        <w:rPr>
          <w:rFonts w:ascii="Arial" w:hAnsi="Arial" w:cs="Arial"/>
          <w:b/>
          <w:bCs/>
          <w:sz w:val="22"/>
          <w:szCs w:val="22"/>
        </w:rPr>
        <w:t>Session:</w:t>
      </w:r>
      <w:r w:rsidRPr="008B544C">
        <w:rPr>
          <w:rFonts w:ascii="Arial" w:hAnsi="Arial" w:cs="Arial"/>
          <w:sz w:val="22"/>
          <w:szCs w:val="22"/>
        </w:rPr>
        <w:t xml:space="preserve"> Week 1</w:t>
      </w:r>
      <w:r w:rsidRPr="008B544C">
        <w:rPr>
          <w:rFonts w:ascii="Arial" w:hAnsi="Arial" w:cs="Arial"/>
          <w:sz w:val="22"/>
          <w:szCs w:val="22"/>
        </w:rPr>
        <w:br/>
      </w:r>
    </w:p>
    <w:p w14:paraId="4D124819" w14:textId="77777777" w:rsidR="00E60120" w:rsidRPr="008B544C" w:rsidRDefault="00E60120" w:rsidP="00E60120">
      <w:pPr>
        <w:rPr>
          <w:rFonts w:ascii="Arial" w:hAnsi="Arial" w:cs="Arial"/>
          <w:sz w:val="22"/>
          <w:szCs w:val="22"/>
        </w:rPr>
      </w:pPr>
      <w:r w:rsidRPr="008B544C">
        <w:rPr>
          <w:rFonts w:ascii="Arial" w:hAnsi="Arial" w:cs="Arial"/>
          <w:b/>
          <w:bCs/>
          <w:sz w:val="22"/>
          <w:szCs w:val="22"/>
        </w:rPr>
        <w:t>Experience: What happened? What did you learn?</w:t>
      </w:r>
    </w:p>
    <w:p w14:paraId="3D3C1419" w14:textId="49817E38" w:rsidR="005B4710" w:rsidRPr="008B544C" w:rsidRDefault="005B4710" w:rsidP="005B4710">
      <w:pPr>
        <w:pStyle w:val="ListParagraph"/>
        <w:numPr>
          <w:ilvl w:val="0"/>
          <w:numId w:val="22"/>
        </w:numPr>
        <w:spacing w:after="0" w:line="240" w:lineRule="auto"/>
        <w:rPr>
          <w:rFonts w:ascii="Arial" w:eastAsia="Times New Roman" w:hAnsi="Arial" w:cs="Arial"/>
          <w:kern w:val="0"/>
          <w:sz w:val="22"/>
          <w:szCs w:val="22"/>
          <w:lang w:eastAsia="en-GB"/>
          <w14:ligatures w14:val="none"/>
        </w:rPr>
      </w:pPr>
      <w:r w:rsidRPr="008B544C">
        <w:rPr>
          <w:rFonts w:ascii="Arial" w:eastAsia="Times New Roman" w:hAnsi="Arial" w:cs="Arial"/>
          <w:kern w:val="0"/>
          <w:sz w:val="22"/>
          <w:szCs w:val="22"/>
          <w:lang w:eastAsia="en-GB"/>
          <w14:ligatures w14:val="none"/>
        </w:rPr>
        <w:t>I learned the fundamentals of evaluating strategic investments.</w:t>
      </w:r>
    </w:p>
    <w:p w14:paraId="6DD8F2BD" w14:textId="5CEA28EB" w:rsidR="009D5796" w:rsidRPr="008B544C" w:rsidRDefault="009D5796" w:rsidP="009D5796">
      <w:pPr>
        <w:pStyle w:val="ListParagraph"/>
        <w:numPr>
          <w:ilvl w:val="0"/>
          <w:numId w:val="22"/>
        </w:numPr>
        <w:spacing w:after="0" w:line="240" w:lineRule="auto"/>
        <w:rPr>
          <w:rFonts w:ascii="Arial" w:eastAsia="Times New Roman" w:hAnsi="Arial" w:cs="Arial"/>
          <w:kern w:val="0"/>
          <w:sz w:val="22"/>
          <w:szCs w:val="22"/>
          <w:lang w:eastAsia="en-GB"/>
          <w14:ligatures w14:val="none"/>
        </w:rPr>
      </w:pPr>
      <w:r w:rsidRPr="008B544C">
        <w:rPr>
          <w:rFonts w:ascii="Arial" w:eastAsia="Times New Roman" w:hAnsi="Arial" w:cs="Arial"/>
          <w:kern w:val="0"/>
          <w:sz w:val="22"/>
          <w:szCs w:val="22"/>
          <w:lang w:eastAsia="en-GB"/>
          <w14:ligatures w14:val="none"/>
        </w:rPr>
        <w:t>Explored the fundamentals of business policy-making and its context.</w:t>
      </w:r>
    </w:p>
    <w:p w14:paraId="4E3CC48A" w14:textId="773DF93C" w:rsidR="00E60120" w:rsidRPr="008B544C" w:rsidRDefault="00E60120" w:rsidP="00DC4497">
      <w:pPr>
        <w:numPr>
          <w:ilvl w:val="0"/>
          <w:numId w:val="22"/>
        </w:numPr>
        <w:rPr>
          <w:rFonts w:ascii="Arial" w:hAnsi="Arial" w:cs="Arial"/>
          <w:sz w:val="22"/>
          <w:szCs w:val="22"/>
        </w:rPr>
      </w:pPr>
      <w:r w:rsidRPr="008B544C">
        <w:rPr>
          <w:rFonts w:ascii="Arial" w:hAnsi="Arial" w:cs="Arial"/>
          <w:sz w:val="22"/>
          <w:szCs w:val="22"/>
        </w:rPr>
        <w:t xml:space="preserve">Reviewed the module's goals, assessments, and available learning </w:t>
      </w:r>
      <w:r w:rsidR="00FA5C03" w:rsidRPr="008B544C">
        <w:rPr>
          <w:rFonts w:ascii="Arial" w:hAnsi="Arial" w:cs="Arial"/>
          <w:sz w:val="22"/>
          <w:szCs w:val="22"/>
        </w:rPr>
        <w:t>material</w:t>
      </w:r>
    </w:p>
    <w:p w14:paraId="0C4CBE26" w14:textId="77777777" w:rsidR="00E60120" w:rsidRPr="008B544C" w:rsidRDefault="00E60120" w:rsidP="00E60120">
      <w:pPr>
        <w:rPr>
          <w:rFonts w:ascii="Arial" w:hAnsi="Arial" w:cs="Arial"/>
          <w:sz w:val="22"/>
          <w:szCs w:val="22"/>
        </w:rPr>
      </w:pPr>
      <w:r w:rsidRPr="008B544C">
        <w:rPr>
          <w:rFonts w:ascii="Arial" w:hAnsi="Arial" w:cs="Arial"/>
          <w:b/>
          <w:bCs/>
          <w:sz w:val="22"/>
          <w:szCs w:val="22"/>
        </w:rPr>
        <w:t>Reflection: What are your thoughts? What stood out as valuable?</w:t>
      </w:r>
    </w:p>
    <w:p w14:paraId="77276D60" w14:textId="2D141126" w:rsidR="00E60120" w:rsidRPr="008B544C" w:rsidRDefault="00E60120" w:rsidP="00DC4497">
      <w:pPr>
        <w:numPr>
          <w:ilvl w:val="0"/>
          <w:numId w:val="23"/>
        </w:numPr>
        <w:rPr>
          <w:rFonts w:ascii="Arial" w:hAnsi="Arial" w:cs="Arial"/>
          <w:sz w:val="22"/>
          <w:szCs w:val="22"/>
        </w:rPr>
      </w:pPr>
      <w:r w:rsidRPr="008B544C">
        <w:rPr>
          <w:rFonts w:ascii="Arial" w:hAnsi="Arial" w:cs="Arial"/>
          <w:sz w:val="22"/>
          <w:szCs w:val="22"/>
        </w:rPr>
        <w:t xml:space="preserve">I realized how this module will </w:t>
      </w:r>
      <w:r w:rsidR="008B77A0" w:rsidRPr="008B544C">
        <w:rPr>
          <w:rFonts w:ascii="Arial" w:hAnsi="Arial" w:cs="Arial"/>
          <w:sz w:val="22"/>
          <w:szCs w:val="22"/>
        </w:rPr>
        <w:t>boost</w:t>
      </w:r>
      <w:r w:rsidRPr="008B544C">
        <w:rPr>
          <w:rFonts w:ascii="Arial" w:hAnsi="Arial" w:cs="Arial"/>
          <w:sz w:val="22"/>
          <w:szCs w:val="22"/>
        </w:rPr>
        <w:t xml:space="preserve"> my understanding of the broader context of my studies.</w:t>
      </w:r>
    </w:p>
    <w:p w14:paraId="3E9BF735" w14:textId="610EDD18" w:rsidR="00E60120" w:rsidRPr="008B544C" w:rsidRDefault="00E60120" w:rsidP="00DC4497">
      <w:pPr>
        <w:numPr>
          <w:ilvl w:val="0"/>
          <w:numId w:val="23"/>
        </w:numPr>
        <w:rPr>
          <w:rFonts w:ascii="Arial" w:hAnsi="Arial" w:cs="Arial"/>
          <w:sz w:val="22"/>
          <w:szCs w:val="22"/>
        </w:rPr>
      </w:pPr>
      <w:r w:rsidRPr="008B544C">
        <w:rPr>
          <w:rFonts w:ascii="Arial" w:hAnsi="Arial" w:cs="Arial"/>
          <w:sz w:val="22"/>
          <w:szCs w:val="22"/>
        </w:rPr>
        <w:t xml:space="preserve">The instructor effectively used </w:t>
      </w:r>
      <w:r w:rsidR="00F13FB8" w:rsidRPr="008B544C">
        <w:rPr>
          <w:rFonts w:ascii="Arial" w:hAnsi="Arial" w:cs="Arial"/>
          <w:sz w:val="22"/>
          <w:szCs w:val="22"/>
        </w:rPr>
        <w:t xml:space="preserve">samples </w:t>
      </w:r>
      <w:r w:rsidRPr="008B544C">
        <w:rPr>
          <w:rFonts w:ascii="Arial" w:hAnsi="Arial" w:cs="Arial"/>
          <w:sz w:val="22"/>
          <w:szCs w:val="22"/>
        </w:rPr>
        <w:t xml:space="preserve"> to clarify concepts and address students' questions in depth.</w:t>
      </w:r>
    </w:p>
    <w:p w14:paraId="0067857F" w14:textId="77777777" w:rsidR="00E60120" w:rsidRPr="008B544C" w:rsidRDefault="00E60120" w:rsidP="00E60120">
      <w:pPr>
        <w:rPr>
          <w:rFonts w:ascii="Arial" w:hAnsi="Arial" w:cs="Arial"/>
          <w:sz w:val="22"/>
          <w:szCs w:val="22"/>
        </w:rPr>
      </w:pPr>
      <w:r w:rsidRPr="008B544C">
        <w:rPr>
          <w:rFonts w:ascii="Arial" w:hAnsi="Arial" w:cs="Arial"/>
          <w:b/>
          <w:bCs/>
          <w:sz w:val="22"/>
          <w:szCs w:val="22"/>
        </w:rPr>
        <w:t>Generalization: What key lessons did you take away?</w:t>
      </w:r>
    </w:p>
    <w:p w14:paraId="1E79196D" w14:textId="77777777" w:rsidR="00E60120" w:rsidRPr="008B544C" w:rsidRDefault="00E60120" w:rsidP="00DC4497">
      <w:pPr>
        <w:numPr>
          <w:ilvl w:val="0"/>
          <w:numId w:val="24"/>
        </w:numPr>
        <w:rPr>
          <w:rFonts w:ascii="Arial" w:hAnsi="Arial" w:cs="Arial"/>
          <w:sz w:val="22"/>
          <w:szCs w:val="22"/>
        </w:rPr>
      </w:pPr>
      <w:r w:rsidRPr="008B544C">
        <w:rPr>
          <w:rFonts w:ascii="Arial" w:hAnsi="Arial" w:cs="Arial"/>
          <w:sz w:val="22"/>
          <w:szCs w:val="22"/>
        </w:rPr>
        <w:t>Learned about the purpose and significance of strategic investment appraisal.</w:t>
      </w:r>
    </w:p>
    <w:p w14:paraId="26D13E98" w14:textId="77777777" w:rsidR="00E60120" w:rsidRPr="008B544C" w:rsidRDefault="00E60120" w:rsidP="00DC4497">
      <w:pPr>
        <w:numPr>
          <w:ilvl w:val="0"/>
          <w:numId w:val="24"/>
        </w:numPr>
        <w:rPr>
          <w:rFonts w:ascii="Arial" w:hAnsi="Arial" w:cs="Arial"/>
          <w:sz w:val="22"/>
          <w:szCs w:val="22"/>
        </w:rPr>
      </w:pPr>
      <w:r w:rsidRPr="008B544C">
        <w:rPr>
          <w:rFonts w:ascii="Arial" w:hAnsi="Arial" w:cs="Arial"/>
          <w:sz w:val="22"/>
          <w:szCs w:val="22"/>
        </w:rPr>
        <w:t>Gained insights into how decisions are made in organizational settings.</w:t>
      </w:r>
    </w:p>
    <w:p w14:paraId="445B26D5" w14:textId="77777777" w:rsidR="00E60120" w:rsidRPr="008B544C" w:rsidRDefault="00E60120" w:rsidP="00E60120">
      <w:pPr>
        <w:rPr>
          <w:rFonts w:ascii="Arial" w:hAnsi="Arial" w:cs="Arial"/>
          <w:sz w:val="22"/>
          <w:szCs w:val="22"/>
        </w:rPr>
      </w:pPr>
      <w:r w:rsidRPr="008B544C">
        <w:rPr>
          <w:rFonts w:ascii="Arial" w:hAnsi="Arial" w:cs="Arial"/>
          <w:b/>
          <w:bCs/>
          <w:sz w:val="22"/>
          <w:szCs w:val="22"/>
        </w:rPr>
        <w:t>Action: How will you apply what you’ve learned?</w:t>
      </w:r>
    </w:p>
    <w:p w14:paraId="77ED9C82" w14:textId="77777777" w:rsidR="00E60120" w:rsidRPr="008B544C" w:rsidRDefault="00E60120" w:rsidP="00DC4497">
      <w:pPr>
        <w:numPr>
          <w:ilvl w:val="0"/>
          <w:numId w:val="25"/>
        </w:numPr>
        <w:rPr>
          <w:rFonts w:ascii="Arial" w:hAnsi="Arial" w:cs="Arial"/>
          <w:sz w:val="22"/>
          <w:szCs w:val="22"/>
        </w:rPr>
      </w:pPr>
      <w:r w:rsidRPr="008B544C">
        <w:rPr>
          <w:rFonts w:ascii="Arial" w:hAnsi="Arial" w:cs="Arial"/>
          <w:sz w:val="22"/>
          <w:szCs w:val="22"/>
        </w:rPr>
        <w:t>Facilitated a training session for colleagues on investment appraisal techniques.</w:t>
      </w:r>
    </w:p>
    <w:p w14:paraId="719A0CFA" w14:textId="77777777" w:rsidR="00E60120" w:rsidRPr="008B544C" w:rsidRDefault="00E60120" w:rsidP="00DC4497">
      <w:pPr>
        <w:numPr>
          <w:ilvl w:val="0"/>
          <w:numId w:val="25"/>
        </w:numPr>
        <w:rPr>
          <w:rFonts w:ascii="Arial" w:hAnsi="Arial" w:cs="Arial"/>
          <w:sz w:val="22"/>
          <w:szCs w:val="22"/>
        </w:rPr>
      </w:pPr>
      <w:r w:rsidRPr="008B544C">
        <w:rPr>
          <w:rFonts w:ascii="Arial" w:hAnsi="Arial" w:cs="Arial"/>
          <w:sz w:val="22"/>
          <w:szCs w:val="22"/>
        </w:rPr>
        <w:t>Started exploring practical opportunities to apply the knowledge gained from the lecture.</w:t>
      </w:r>
    </w:p>
    <w:p w14:paraId="70AE1528" w14:textId="77777777" w:rsidR="00C96F01" w:rsidRPr="008B544C" w:rsidRDefault="00C96F01" w:rsidP="003761B4">
      <w:pPr>
        <w:rPr>
          <w:rFonts w:ascii="Arial" w:hAnsi="Arial" w:cs="Arial"/>
          <w:sz w:val="22"/>
          <w:szCs w:val="22"/>
        </w:rPr>
      </w:pPr>
    </w:p>
    <w:p w14:paraId="5222B0D3" w14:textId="77777777" w:rsidR="005A2B97" w:rsidRPr="008B544C" w:rsidRDefault="005A2B97" w:rsidP="003761B4">
      <w:pPr>
        <w:rPr>
          <w:rFonts w:ascii="Arial" w:hAnsi="Arial" w:cs="Arial"/>
          <w:sz w:val="22"/>
          <w:szCs w:val="22"/>
        </w:rPr>
      </w:pPr>
    </w:p>
    <w:p w14:paraId="7BB10D8C" w14:textId="77777777" w:rsidR="005A2B97" w:rsidRPr="008B544C" w:rsidRDefault="005A2B97" w:rsidP="003761B4">
      <w:pPr>
        <w:rPr>
          <w:rFonts w:ascii="Arial" w:hAnsi="Arial" w:cs="Arial"/>
          <w:sz w:val="22"/>
          <w:szCs w:val="22"/>
        </w:rPr>
      </w:pPr>
    </w:p>
    <w:p w14:paraId="096DD9C1" w14:textId="77777777" w:rsidR="005A2B97" w:rsidRPr="008B544C" w:rsidRDefault="005A2B97" w:rsidP="003761B4">
      <w:pPr>
        <w:rPr>
          <w:rFonts w:ascii="Arial" w:hAnsi="Arial" w:cs="Arial"/>
          <w:sz w:val="22"/>
          <w:szCs w:val="22"/>
        </w:rPr>
      </w:pPr>
    </w:p>
    <w:p w14:paraId="2A760624" w14:textId="77777777" w:rsidR="0029095A" w:rsidRPr="008B544C" w:rsidRDefault="0029095A" w:rsidP="003761B4">
      <w:pPr>
        <w:rPr>
          <w:rFonts w:ascii="Arial" w:hAnsi="Arial" w:cs="Arial"/>
          <w:sz w:val="22"/>
          <w:szCs w:val="22"/>
        </w:rPr>
      </w:pPr>
    </w:p>
    <w:p w14:paraId="17D873A9" w14:textId="77777777" w:rsidR="0029095A" w:rsidRPr="008B544C" w:rsidRDefault="0029095A" w:rsidP="003761B4">
      <w:pPr>
        <w:rPr>
          <w:rFonts w:ascii="Arial" w:hAnsi="Arial" w:cs="Arial"/>
          <w:sz w:val="22"/>
          <w:szCs w:val="22"/>
        </w:rPr>
      </w:pPr>
    </w:p>
    <w:p w14:paraId="70768D46" w14:textId="77777777" w:rsidR="0029095A" w:rsidRPr="008B544C" w:rsidRDefault="0029095A" w:rsidP="003761B4">
      <w:pPr>
        <w:rPr>
          <w:rFonts w:ascii="Arial" w:hAnsi="Arial" w:cs="Arial"/>
          <w:sz w:val="22"/>
          <w:szCs w:val="22"/>
        </w:rPr>
      </w:pPr>
    </w:p>
    <w:p w14:paraId="7571D648" w14:textId="77777777" w:rsidR="0029095A" w:rsidRPr="008B544C" w:rsidRDefault="0029095A" w:rsidP="003761B4">
      <w:pPr>
        <w:rPr>
          <w:rFonts w:ascii="Arial" w:hAnsi="Arial" w:cs="Arial"/>
          <w:sz w:val="22"/>
          <w:szCs w:val="22"/>
        </w:rPr>
      </w:pPr>
    </w:p>
    <w:p w14:paraId="6645214D" w14:textId="77777777" w:rsidR="0029095A" w:rsidRPr="008B544C" w:rsidRDefault="0029095A" w:rsidP="003761B4">
      <w:pPr>
        <w:rPr>
          <w:rFonts w:ascii="Arial" w:hAnsi="Arial" w:cs="Arial"/>
          <w:sz w:val="22"/>
          <w:szCs w:val="22"/>
        </w:rPr>
      </w:pPr>
    </w:p>
    <w:p w14:paraId="0C650CA5" w14:textId="77777777" w:rsidR="005A2B97" w:rsidRPr="008B544C" w:rsidRDefault="005A2B97" w:rsidP="003761B4">
      <w:pPr>
        <w:rPr>
          <w:rFonts w:ascii="Arial" w:hAnsi="Arial" w:cs="Arial"/>
          <w:sz w:val="22"/>
          <w:szCs w:val="22"/>
        </w:rPr>
      </w:pPr>
    </w:p>
    <w:p w14:paraId="0A9F4C39" w14:textId="77777777" w:rsidR="0029095A" w:rsidRPr="008B544C" w:rsidRDefault="0029095A" w:rsidP="005A2B97">
      <w:pPr>
        <w:rPr>
          <w:rFonts w:ascii="Arial" w:hAnsi="Arial" w:cs="Arial"/>
          <w:b/>
          <w:bCs/>
          <w:sz w:val="22"/>
          <w:szCs w:val="22"/>
        </w:rPr>
      </w:pPr>
    </w:p>
    <w:p w14:paraId="40C35C83" w14:textId="77777777" w:rsidR="0029095A" w:rsidRPr="008B544C" w:rsidRDefault="0029095A" w:rsidP="005A2B97">
      <w:pPr>
        <w:rPr>
          <w:rFonts w:ascii="Arial" w:hAnsi="Arial" w:cs="Arial"/>
          <w:b/>
          <w:bCs/>
          <w:sz w:val="22"/>
          <w:szCs w:val="22"/>
        </w:rPr>
      </w:pPr>
    </w:p>
    <w:p w14:paraId="7F92631B" w14:textId="77777777" w:rsidR="0029095A" w:rsidRPr="008B544C" w:rsidRDefault="0029095A" w:rsidP="005A2B97">
      <w:pPr>
        <w:rPr>
          <w:rFonts w:ascii="Arial" w:hAnsi="Arial" w:cs="Arial"/>
          <w:b/>
          <w:bCs/>
          <w:sz w:val="22"/>
          <w:szCs w:val="22"/>
        </w:rPr>
      </w:pPr>
    </w:p>
    <w:p w14:paraId="20022E21" w14:textId="21C0E15D" w:rsidR="005A2B97" w:rsidRPr="008B544C" w:rsidRDefault="005A2B97" w:rsidP="005A2B97">
      <w:pPr>
        <w:rPr>
          <w:rFonts w:ascii="Arial" w:hAnsi="Arial" w:cs="Arial"/>
          <w:sz w:val="22"/>
          <w:szCs w:val="22"/>
        </w:rPr>
      </w:pPr>
      <w:r w:rsidRPr="008B544C">
        <w:rPr>
          <w:rFonts w:ascii="Arial" w:hAnsi="Arial" w:cs="Arial"/>
          <w:b/>
          <w:bCs/>
          <w:sz w:val="22"/>
          <w:szCs w:val="22"/>
        </w:rPr>
        <w:t>Name:</w:t>
      </w:r>
      <w:r w:rsidRPr="008B544C">
        <w:rPr>
          <w:rFonts w:ascii="Arial" w:hAnsi="Arial" w:cs="Arial"/>
          <w:sz w:val="22"/>
          <w:szCs w:val="22"/>
        </w:rPr>
        <w:t xml:space="preserve"> Konwea Dumebi Ogechukwu</w:t>
      </w:r>
      <w:r w:rsidRPr="008B544C">
        <w:rPr>
          <w:rFonts w:ascii="Arial" w:hAnsi="Arial" w:cs="Arial"/>
          <w:sz w:val="22"/>
          <w:szCs w:val="22"/>
        </w:rPr>
        <w:br/>
      </w:r>
      <w:r w:rsidRPr="008B544C">
        <w:rPr>
          <w:rFonts w:ascii="Arial" w:hAnsi="Arial" w:cs="Arial"/>
          <w:b/>
          <w:bCs/>
          <w:sz w:val="22"/>
          <w:szCs w:val="22"/>
        </w:rPr>
        <w:t>Session:</w:t>
      </w:r>
      <w:r w:rsidRPr="008B544C">
        <w:rPr>
          <w:rFonts w:ascii="Arial" w:hAnsi="Arial" w:cs="Arial"/>
          <w:sz w:val="22"/>
          <w:szCs w:val="22"/>
        </w:rPr>
        <w:t xml:space="preserve"> Week 2</w:t>
      </w:r>
    </w:p>
    <w:p w14:paraId="0EB06296" w14:textId="77777777" w:rsidR="005A2B97" w:rsidRPr="008B544C" w:rsidRDefault="005A2B97" w:rsidP="005A2B97">
      <w:pPr>
        <w:rPr>
          <w:rFonts w:ascii="Arial" w:hAnsi="Arial" w:cs="Arial"/>
          <w:sz w:val="22"/>
          <w:szCs w:val="22"/>
        </w:rPr>
      </w:pPr>
      <w:r w:rsidRPr="008B544C">
        <w:rPr>
          <w:rFonts w:ascii="Arial" w:hAnsi="Arial" w:cs="Arial"/>
          <w:b/>
          <w:bCs/>
          <w:sz w:val="22"/>
          <w:szCs w:val="22"/>
        </w:rPr>
        <w:t>Experience: What happened? What did you learn?</w:t>
      </w:r>
    </w:p>
    <w:p w14:paraId="1FC2C99E" w14:textId="77777777" w:rsidR="005A2B97" w:rsidRPr="008B544C" w:rsidRDefault="005A2B97" w:rsidP="00DC4497">
      <w:pPr>
        <w:numPr>
          <w:ilvl w:val="0"/>
          <w:numId w:val="26"/>
        </w:numPr>
        <w:rPr>
          <w:rFonts w:ascii="Arial" w:hAnsi="Arial" w:cs="Arial"/>
          <w:sz w:val="22"/>
          <w:szCs w:val="22"/>
        </w:rPr>
      </w:pPr>
      <w:r w:rsidRPr="008B544C">
        <w:rPr>
          <w:rFonts w:ascii="Arial" w:hAnsi="Arial" w:cs="Arial"/>
          <w:sz w:val="22"/>
          <w:szCs w:val="22"/>
        </w:rPr>
        <w:t>Gained an understanding of risk analysis.</w:t>
      </w:r>
    </w:p>
    <w:p w14:paraId="0EBD83EC" w14:textId="77777777" w:rsidR="005A2B97" w:rsidRPr="008B544C" w:rsidRDefault="005A2B97" w:rsidP="00DC4497">
      <w:pPr>
        <w:numPr>
          <w:ilvl w:val="0"/>
          <w:numId w:val="26"/>
        </w:numPr>
        <w:rPr>
          <w:rFonts w:ascii="Arial" w:hAnsi="Arial" w:cs="Arial"/>
          <w:sz w:val="22"/>
          <w:szCs w:val="22"/>
        </w:rPr>
      </w:pPr>
      <w:r w:rsidRPr="008B544C">
        <w:rPr>
          <w:rFonts w:ascii="Arial" w:hAnsi="Arial" w:cs="Arial"/>
          <w:sz w:val="22"/>
          <w:szCs w:val="22"/>
        </w:rPr>
        <w:t>Explored key concepts in project selection.</w:t>
      </w:r>
    </w:p>
    <w:p w14:paraId="177AC031" w14:textId="77777777" w:rsidR="005A2B97" w:rsidRPr="008B544C" w:rsidRDefault="005A2B97" w:rsidP="00DC4497">
      <w:pPr>
        <w:numPr>
          <w:ilvl w:val="0"/>
          <w:numId w:val="26"/>
        </w:numPr>
        <w:rPr>
          <w:rFonts w:ascii="Arial" w:hAnsi="Arial" w:cs="Arial"/>
          <w:sz w:val="22"/>
          <w:szCs w:val="22"/>
        </w:rPr>
      </w:pPr>
      <w:r w:rsidRPr="008B544C">
        <w:rPr>
          <w:rFonts w:ascii="Arial" w:hAnsi="Arial" w:cs="Arial"/>
          <w:sz w:val="22"/>
          <w:szCs w:val="22"/>
        </w:rPr>
        <w:t>Introduced to the development of a business case.</w:t>
      </w:r>
    </w:p>
    <w:p w14:paraId="5B2BC7E7" w14:textId="523017F7" w:rsidR="005A2B97" w:rsidRPr="008B544C" w:rsidRDefault="005A2B97" w:rsidP="005A2B97">
      <w:pPr>
        <w:rPr>
          <w:rFonts w:ascii="Arial" w:hAnsi="Arial" w:cs="Arial"/>
          <w:sz w:val="22"/>
          <w:szCs w:val="22"/>
        </w:rPr>
      </w:pPr>
      <w:r w:rsidRPr="008B544C">
        <w:rPr>
          <w:rFonts w:ascii="Arial" w:hAnsi="Arial" w:cs="Arial"/>
          <w:b/>
          <w:bCs/>
          <w:sz w:val="22"/>
          <w:szCs w:val="22"/>
        </w:rPr>
        <w:t xml:space="preserve">Reflection: What are your thoughts? What did you find </w:t>
      </w:r>
      <w:r w:rsidR="00EF6FBC" w:rsidRPr="008B544C">
        <w:rPr>
          <w:rFonts w:ascii="Arial" w:hAnsi="Arial" w:cs="Arial"/>
          <w:b/>
          <w:bCs/>
          <w:sz w:val="22"/>
          <w:szCs w:val="22"/>
        </w:rPr>
        <w:t>Helpful</w:t>
      </w:r>
      <w:r w:rsidRPr="008B544C">
        <w:rPr>
          <w:rFonts w:ascii="Arial" w:hAnsi="Arial" w:cs="Arial"/>
          <w:b/>
          <w:bCs/>
          <w:sz w:val="22"/>
          <w:szCs w:val="22"/>
        </w:rPr>
        <w:t>?</w:t>
      </w:r>
    </w:p>
    <w:p w14:paraId="39A0DA49" w14:textId="4B0F3719" w:rsidR="005A2B97" w:rsidRPr="008B544C" w:rsidRDefault="005A2B97" w:rsidP="00DC4497">
      <w:pPr>
        <w:numPr>
          <w:ilvl w:val="0"/>
          <w:numId w:val="27"/>
        </w:numPr>
        <w:rPr>
          <w:rFonts w:ascii="Arial" w:hAnsi="Arial" w:cs="Arial"/>
          <w:sz w:val="22"/>
          <w:szCs w:val="22"/>
        </w:rPr>
      </w:pPr>
      <w:r w:rsidRPr="008B544C">
        <w:rPr>
          <w:rFonts w:ascii="Arial" w:hAnsi="Arial" w:cs="Arial"/>
          <w:sz w:val="22"/>
          <w:szCs w:val="22"/>
        </w:rPr>
        <w:t xml:space="preserve">The lecture was </w:t>
      </w:r>
      <w:r w:rsidR="005777D9" w:rsidRPr="008B544C">
        <w:rPr>
          <w:rFonts w:ascii="Arial" w:hAnsi="Arial" w:cs="Arial"/>
          <w:sz w:val="22"/>
          <w:szCs w:val="22"/>
        </w:rPr>
        <w:t>involving</w:t>
      </w:r>
      <w:r w:rsidRPr="008B544C">
        <w:rPr>
          <w:rFonts w:ascii="Arial" w:hAnsi="Arial" w:cs="Arial"/>
          <w:sz w:val="22"/>
          <w:szCs w:val="22"/>
        </w:rPr>
        <w:t xml:space="preserve"> and interactive due to  relevance of the topic.</w:t>
      </w:r>
    </w:p>
    <w:p w14:paraId="6AE2F58A" w14:textId="77777777" w:rsidR="005A2B97" w:rsidRPr="008B544C" w:rsidRDefault="005A2B97" w:rsidP="00DC4497">
      <w:pPr>
        <w:numPr>
          <w:ilvl w:val="0"/>
          <w:numId w:val="27"/>
        </w:numPr>
        <w:rPr>
          <w:rFonts w:ascii="Arial" w:hAnsi="Arial" w:cs="Arial"/>
          <w:sz w:val="22"/>
          <w:szCs w:val="22"/>
        </w:rPr>
      </w:pPr>
      <w:r w:rsidRPr="008B544C">
        <w:rPr>
          <w:rFonts w:ascii="Arial" w:hAnsi="Arial" w:cs="Arial"/>
          <w:sz w:val="22"/>
          <w:szCs w:val="22"/>
        </w:rPr>
        <w:t>The content was simplified, making it easier to grasp and apply.</w:t>
      </w:r>
    </w:p>
    <w:p w14:paraId="1FF292DD" w14:textId="77777777" w:rsidR="005A2B97" w:rsidRPr="008B544C" w:rsidRDefault="005A2B97" w:rsidP="005A2B97">
      <w:pPr>
        <w:rPr>
          <w:rFonts w:ascii="Arial" w:hAnsi="Arial" w:cs="Arial"/>
          <w:sz w:val="22"/>
          <w:szCs w:val="22"/>
        </w:rPr>
      </w:pPr>
      <w:r w:rsidRPr="008B544C">
        <w:rPr>
          <w:rFonts w:ascii="Arial" w:hAnsi="Arial" w:cs="Arial"/>
          <w:b/>
          <w:bCs/>
          <w:sz w:val="22"/>
          <w:szCs w:val="22"/>
        </w:rPr>
        <w:t>Generalization: What key takeaways did you gain?</w:t>
      </w:r>
    </w:p>
    <w:p w14:paraId="37F8F922" w14:textId="77777777" w:rsidR="005A2B97" w:rsidRPr="008B544C" w:rsidRDefault="005A2B97" w:rsidP="00DC4497">
      <w:pPr>
        <w:numPr>
          <w:ilvl w:val="0"/>
          <w:numId w:val="28"/>
        </w:numPr>
        <w:rPr>
          <w:rFonts w:ascii="Arial" w:hAnsi="Arial" w:cs="Arial"/>
          <w:sz w:val="22"/>
          <w:szCs w:val="22"/>
        </w:rPr>
      </w:pPr>
      <w:r w:rsidRPr="008B544C">
        <w:rPr>
          <w:rFonts w:ascii="Arial" w:hAnsi="Arial" w:cs="Arial"/>
          <w:sz w:val="22"/>
          <w:szCs w:val="22"/>
        </w:rPr>
        <w:t>Improved my understanding of business risks and the methods to mitigate them.</w:t>
      </w:r>
    </w:p>
    <w:p w14:paraId="657A66D0" w14:textId="5AFE3AE5" w:rsidR="005A2B97" w:rsidRPr="008B544C" w:rsidRDefault="005A2B97" w:rsidP="00DC4497">
      <w:pPr>
        <w:numPr>
          <w:ilvl w:val="0"/>
          <w:numId w:val="28"/>
        </w:numPr>
        <w:rPr>
          <w:rFonts w:ascii="Arial" w:hAnsi="Arial" w:cs="Arial"/>
          <w:sz w:val="22"/>
          <w:szCs w:val="22"/>
        </w:rPr>
      </w:pPr>
      <w:r w:rsidRPr="008B544C">
        <w:rPr>
          <w:rFonts w:ascii="Arial" w:hAnsi="Arial" w:cs="Arial"/>
          <w:sz w:val="22"/>
          <w:szCs w:val="22"/>
        </w:rPr>
        <w:t xml:space="preserve">Learned  to effectively </w:t>
      </w:r>
      <w:r w:rsidR="00E46DC9" w:rsidRPr="008B544C">
        <w:rPr>
          <w:rFonts w:ascii="Arial" w:hAnsi="Arial" w:cs="Arial"/>
          <w:sz w:val="22"/>
          <w:szCs w:val="22"/>
        </w:rPr>
        <w:t xml:space="preserve">create a business case utilizing </w:t>
      </w:r>
      <w:r w:rsidRPr="008B544C">
        <w:rPr>
          <w:rFonts w:ascii="Arial" w:hAnsi="Arial" w:cs="Arial"/>
          <w:sz w:val="22"/>
          <w:szCs w:val="22"/>
        </w:rPr>
        <w:t>specialized tools.</w:t>
      </w:r>
    </w:p>
    <w:p w14:paraId="23C7351F" w14:textId="4224C172" w:rsidR="005A2B97" w:rsidRPr="008B544C" w:rsidRDefault="005A2B97" w:rsidP="005A2B97">
      <w:pPr>
        <w:rPr>
          <w:rFonts w:ascii="Arial" w:hAnsi="Arial" w:cs="Arial"/>
          <w:sz w:val="22"/>
          <w:szCs w:val="22"/>
        </w:rPr>
      </w:pPr>
      <w:r w:rsidRPr="008B544C">
        <w:rPr>
          <w:rFonts w:ascii="Arial" w:hAnsi="Arial" w:cs="Arial"/>
          <w:b/>
          <w:bCs/>
          <w:sz w:val="22"/>
          <w:szCs w:val="22"/>
        </w:rPr>
        <w:t xml:space="preserve">Action: How </w:t>
      </w:r>
      <w:r w:rsidR="005021BC" w:rsidRPr="008B544C">
        <w:rPr>
          <w:rFonts w:ascii="Arial" w:hAnsi="Arial" w:cs="Arial"/>
          <w:b/>
          <w:bCs/>
          <w:sz w:val="22"/>
          <w:szCs w:val="22"/>
        </w:rPr>
        <w:t xml:space="preserve">do you plan to Implement what you have </w:t>
      </w:r>
      <w:r w:rsidR="00EB58E9" w:rsidRPr="008B544C">
        <w:rPr>
          <w:rFonts w:ascii="Arial" w:hAnsi="Arial" w:cs="Arial"/>
          <w:b/>
          <w:bCs/>
          <w:sz w:val="22"/>
          <w:szCs w:val="22"/>
        </w:rPr>
        <w:t xml:space="preserve"> learnt </w:t>
      </w:r>
      <w:r w:rsidRPr="008B544C">
        <w:rPr>
          <w:rFonts w:ascii="Arial" w:hAnsi="Arial" w:cs="Arial"/>
          <w:b/>
          <w:bCs/>
          <w:sz w:val="22"/>
          <w:szCs w:val="22"/>
        </w:rPr>
        <w:t>?</w:t>
      </w:r>
    </w:p>
    <w:p w14:paraId="2C4DADE5" w14:textId="77777777" w:rsidR="005A2B97" w:rsidRPr="008B544C" w:rsidRDefault="005A2B97" w:rsidP="00DC4497">
      <w:pPr>
        <w:numPr>
          <w:ilvl w:val="0"/>
          <w:numId w:val="29"/>
        </w:numPr>
        <w:rPr>
          <w:rFonts w:ascii="Arial" w:hAnsi="Arial" w:cs="Arial"/>
          <w:sz w:val="22"/>
          <w:szCs w:val="22"/>
        </w:rPr>
      </w:pPr>
      <w:r w:rsidRPr="008B544C">
        <w:rPr>
          <w:rFonts w:ascii="Arial" w:hAnsi="Arial" w:cs="Arial"/>
          <w:sz w:val="22"/>
          <w:szCs w:val="22"/>
        </w:rPr>
        <w:t>Analyzed the assignment project or proposal to identify potential risks and challenges.</w:t>
      </w:r>
    </w:p>
    <w:p w14:paraId="3B14F68B" w14:textId="0007A68F" w:rsidR="005A2B97" w:rsidRPr="008B544C" w:rsidRDefault="00E93894" w:rsidP="00DC4497">
      <w:pPr>
        <w:numPr>
          <w:ilvl w:val="0"/>
          <w:numId w:val="29"/>
        </w:numPr>
        <w:rPr>
          <w:rFonts w:ascii="Arial" w:hAnsi="Arial" w:cs="Arial"/>
          <w:sz w:val="22"/>
          <w:szCs w:val="22"/>
        </w:rPr>
      </w:pPr>
      <w:r w:rsidRPr="008B544C">
        <w:rPr>
          <w:rFonts w:ascii="Arial" w:hAnsi="Arial" w:cs="Arial"/>
          <w:sz w:val="22"/>
          <w:szCs w:val="22"/>
        </w:rPr>
        <w:t xml:space="preserve">Applied </w:t>
      </w:r>
      <w:r w:rsidR="005A2B97" w:rsidRPr="008B544C">
        <w:rPr>
          <w:rFonts w:ascii="Arial" w:hAnsi="Arial" w:cs="Arial"/>
          <w:sz w:val="22"/>
          <w:szCs w:val="22"/>
        </w:rPr>
        <w:t xml:space="preserve"> lecture insights to </w:t>
      </w:r>
      <w:r w:rsidRPr="008B544C">
        <w:rPr>
          <w:rFonts w:ascii="Arial" w:hAnsi="Arial" w:cs="Arial"/>
          <w:sz w:val="22"/>
          <w:szCs w:val="22"/>
        </w:rPr>
        <w:t>organize</w:t>
      </w:r>
      <w:r w:rsidR="005A2B97" w:rsidRPr="008B544C">
        <w:rPr>
          <w:rFonts w:ascii="Arial" w:hAnsi="Arial" w:cs="Arial"/>
          <w:sz w:val="22"/>
          <w:szCs w:val="22"/>
        </w:rPr>
        <w:t xml:space="preserve"> practical solutions for </w:t>
      </w:r>
      <w:r w:rsidRPr="008B544C">
        <w:rPr>
          <w:rFonts w:ascii="Arial" w:hAnsi="Arial" w:cs="Arial"/>
          <w:sz w:val="22"/>
          <w:szCs w:val="22"/>
        </w:rPr>
        <w:t>justifying</w:t>
      </w:r>
      <w:r w:rsidR="005A2B97" w:rsidRPr="008B544C">
        <w:rPr>
          <w:rFonts w:ascii="Arial" w:hAnsi="Arial" w:cs="Arial"/>
          <w:sz w:val="22"/>
          <w:szCs w:val="22"/>
        </w:rPr>
        <w:t xml:space="preserve"> risks in my business investments.</w:t>
      </w:r>
    </w:p>
    <w:p w14:paraId="707517CB" w14:textId="77777777" w:rsidR="005A2B97" w:rsidRPr="008B544C" w:rsidRDefault="005A2B97" w:rsidP="003761B4">
      <w:pPr>
        <w:rPr>
          <w:rFonts w:ascii="Arial" w:hAnsi="Arial" w:cs="Arial"/>
          <w:sz w:val="22"/>
          <w:szCs w:val="22"/>
        </w:rPr>
      </w:pPr>
    </w:p>
    <w:p w14:paraId="4A4A65C4" w14:textId="77777777" w:rsidR="001428DE" w:rsidRPr="008B544C" w:rsidRDefault="001428DE" w:rsidP="003761B4">
      <w:pPr>
        <w:rPr>
          <w:rFonts w:ascii="Arial" w:hAnsi="Arial" w:cs="Arial"/>
          <w:sz w:val="22"/>
          <w:szCs w:val="22"/>
        </w:rPr>
      </w:pPr>
    </w:p>
    <w:p w14:paraId="5A2E95A8" w14:textId="77777777" w:rsidR="001428DE" w:rsidRPr="008B544C" w:rsidRDefault="001428DE" w:rsidP="003761B4">
      <w:pPr>
        <w:rPr>
          <w:rFonts w:ascii="Arial" w:hAnsi="Arial" w:cs="Arial"/>
          <w:sz w:val="22"/>
          <w:szCs w:val="22"/>
        </w:rPr>
      </w:pPr>
    </w:p>
    <w:p w14:paraId="7E3F1C19" w14:textId="77777777" w:rsidR="001428DE" w:rsidRPr="008B544C" w:rsidRDefault="001428DE" w:rsidP="003761B4">
      <w:pPr>
        <w:rPr>
          <w:rFonts w:ascii="Arial" w:hAnsi="Arial" w:cs="Arial"/>
          <w:sz w:val="22"/>
          <w:szCs w:val="22"/>
        </w:rPr>
      </w:pPr>
    </w:p>
    <w:p w14:paraId="0686CF71" w14:textId="77777777" w:rsidR="001428DE" w:rsidRPr="008B544C" w:rsidRDefault="001428DE" w:rsidP="003761B4">
      <w:pPr>
        <w:rPr>
          <w:rFonts w:ascii="Arial" w:hAnsi="Arial" w:cs="Arial"/>
          <w:sz w:val="22"/>
          <w:szCs w:val="22"/>
        </w:rPr>
      </w:pPr>
    </w:p>
    <w:p w14:paraId="72F589B4" w14:textId="77777777" w:rsidR="001428DE" w:rsidRPr="008B544C" w:rsidRDefault="001428DE" w:rsidP="003761B4">
      <w:pPr>
        <w:rPr>
          <w:rFonts w:ascii="Arial" w:hAnsi="Arial" w:cs="Arial"/>
          <w:sz w:val="22"/>
          <w:szCs w:val="22"/>
        </w:rPr>
      </w:pPr>
    </w:p>
    <w:p w14:paraId="25987578" w14:textId="77777777" w:rsidR="001428DE" w:rsidRPr="008B544C" w:rsidRDefault="001428DE" w:rsidP="003761B4">
      <w:pPr>
        <w:rPr>
          <w:rFonts w:ascii="Arial" w:hAnsi="Arial" w:cs="Arial"/>
          <w:sz w:val="22"/>
          <w:szCs w:val="22"/>
        </w:rPr>
      </w:pPr>
    </w:p>
    <w:p w14:paraId="66379B2D" w14:textId="77777777" w:rsidR="001428DE" w:rsidRPr="008B544C" w:rsidRDefault="001428DE" w:rsidP="003761B4">
      <w:pPr>
        <w:rPr>
          <w:rFonts w:ascii="Arial" w:hAnsi="Arial" w:cs="Arial"/>
          <w:sz w:val="22"/>
          <w:szCs w:val="22"/>
        </w:rPr>
      </w:pPr>
    </w:p>
    <w:p w14:paraId="5163655F" w14:textId="77777777" w:rsidR="001428DE" w:rsidRPr="008B544C" w:rsidRDefault="001428DE" w:rsidP="003761B4">
      <w:pPr>
        <w:rPr>
          <w:rFonts w:ascii="Arial" w:hAnsi="Arial" w:cs="Arial"/>
          <w:sz w:val="22"/>
          <w:szCs w:val="22"/>
        </w:rPr>
      </w:pPr>
    </w:p>
    <w:p w14:paraId="1DB0CF48" w14:textId="77777777" w:rsidR="001428DE" w:rsidRPr="008B544C" w:rsidRDefault="001428DE" w:rsidP="003761B4">
      <w:pPr>
        <w:rPr>
          <w:rFonts w:ascii="Arial" w:hAnsi="Arial" w:cs="Arial"/>
          <w:sz w:val="22"/>
          <w:szCs w:val="22"/>
        </w:rPr>
      </w:pPr>
    </w:p>
    <w:p w14:paraId="45F7C636" w14:textId="77777777" w:rsidR="0017646D" w:rsidRPr="008B544C" w:rsidRDefault="0017646D" w:rsidP="003761B4">
      <w:pPr>
        <w:rPr>
          <w:rFonts w:ascii="Arial" w:hAnsi="Arial" w:cs="Arial"/>
          <w:sz w:val="22"/>
          <w:szCs w:val="22"/>
        </w:rPr>
      </w:pPr>
    </w:p>
    <w:p w14:paraId="21895C16" w14:textId="77777777" w:rsidR="0017646D" w:rsidRPr="008B544C" w:rsidRDefault="0017646D" w:rsidP="003761B4">
      <w:pPr>
        <w:rPr>
          <w:rFonts w:ascii="Arial" w:hAnsi="Arial" w:cs="Arial"/>
          <w:sz w:val="22"/>
          <w:szCs w:val="22"/>
        </w:rPr>
      </w:pPr>
    </w:p>
    <w:p w14:paraId="7ED15B12" w14:textId="4C05C3D6" w:rsidR="001428DE" w:rsidRPr="008B544C" w:rsidRDefault="001428DE" w:rsidP="001428DE">
      <w:pPr>
        <w:rPr>
          <w:rFonts w:ascii="Arial" w:hAnsi="Arial" w:cs="Arial"/>
          <w:sz w:val="22"/>
          <w:szCs w:val="22"/>
        </w:rPr>
      </w:pPr>
      <w:r w:rsidRPr="008B544C">
        <w:rPr>
          <w:rFonts w:ascii="Arial" w:hAnsi="Arial" w:cs="Arial"/>
          <w:b/>
          <w:bCs/>
          <w:sz w:val="22"/>
          <w:szCs w:val="22"/>
        </w:rPr>
        <w:lastRenderedPageBreak/>
        <w:t>Name:</w:t>
      </w:r>
      <w:r w:rsidRPr="008B544C">
        <w:rPr>
          <w:rFonts w:ascii="Arial" w:hAnsi="Arial" w:cs="Arial"/>
          <w:sz w:val="22"/>
          <w:szCs w:val="22"/>
        </w:rPr>
        <w:t xml:space="preserve"> </w:t>
      </w:r>
      <w:r w:rsidR="0017646D" w:rsidRPr="008B544C">
        <w:rPr>
          <w:rFonts w:ascii="Arial" w:hAnsi="Arial" w:cs="Arial"/>
          <w:sz w:val="22"/>
          <w:szCs w:val="22"/>
        </w:rPr>
        <w:t>Konwea Dumebi Ogechukwu</w:t>
      </w:r>
      <w:r w:rsidRPr="008B544C">
        <w:rPr>
          <w:rFonts w:ascii="Arial" w:hAnsi="Arial" w:cs="Arial"/>
          <w:sz w:val="22"/>
          <w:szCs w:val="22"/>
        </w:rPr>
        <w:br/>
      </w:r>
      <w:r w:rsidRPr="008B544C">
        <w:rPr>
          <w:rFonts w:ascii="Arial" w:hAnsi="Arial" w:cs="Arial"/>
          <w:b/>
          <w:bCs/>
          <w:sz w:val="22"/>
          <w:szCs w:val="22"/>
        </w:rPr>
        <w:t>Session:</w:t>
      </w:r>
      <w:r w:rsidRPr="008B544C">
        <w:rPr>
          <w:rFonts w:ascii="Arial" w:hAnsi="Arial" w:cs="Arial"/>
          <w:sz w:val="22"/>
          <w:szCs w:val="22"/>
        </w:rPr>
        <w:t xml:space="preserve"> Week 3</w:t>
      </w:r>
      <w:r w:rsidRPr="008B544C">
        <w:rPr>
          <w:rFonts w:ascii="Arial" w:hAnsi="Arial" w:cs="Arial"/>
          <w:sz w:val="22"/>
          <w:szCs w:val="22"/>
        </w:rPr>
        <w:br/>
      </w:r>
    </w:p>
    <w:p w14:paraId="409FC111" w14:textId="77777777" w:rsidR="001428DE" w:rsidRPr="008B544C" w:rsidRDefault="001428DE" w:rsidP="001428DE">
      <w:pPr>
        <w:rPr>
          <w:rFonts w:ascii="Arial" w:hAnsi="Arial" w:cs="Arial"/>
          <w:sz w:val="22"/>
          <w:szCs w:val="22"/>
        </w:rPr>
      </w:pPr>
      <w:r w:rsidRPr="008B544C">
        <w:rPr>
          <w:rFonts w:ascii="Arial" w:hAnsi="Arial" w:cs="Arial"/>
          <w:b/>
          <w:bCs/>
          <w:sz w:val="22"/>
          <w:szCs w:val="22"/>
        </w:rPr>
        <w:t>Experience: What happened? What did you learn?</w:t>
      </w:r>
    </w:p>
    <w:p w14:paraId="4BBE8902" w14:textId="4DFBD670" w:rsidR="001428DE" w:rsidRPr="008B544C" w:rsidRDefault="001428DE" w:rsidP="00DC4497">
      <w:pPr>
        <w:numPr>
          <w:ilvl w:val="0"/>
          <w:numId w:val="30"/>
        </w:numPr>
        <w:rPr>
          <w:rFonts w:ascii="Arial" w:hAnsi="Arial" w:cs="Arial"/>
          <w:sz w:val="22"/>
          <w:szCs w:val="22"/>
        </w:rPr>
      </w:pPr>
      <w:r w:rsidRPr="008B544C">
        <w:rPr>
          <w:rFonts w:ascii="Arial" w:hAnsi="Arial" w:cs="Arial"/>
          <w:sz w:val="22"/>
          <w:szCs w:val="22"/>
        </w:rPr>
        <w:t xml:space="preserve">Learned </w:t>
      </w:r>
      <w:r w:rsidR="00A71F02" w:rsidRPr="008B544C">
        <w:rPr>
          <w:rFonts w:ascii="Arial" w:hAnsi="Arial" w:cs="Arial"/>
          <w:sz w:val="22"/>
          <w:szCs w:val="22"/>
        </w:rPr>
        <w:t>concerning</w:t>
      </w:r>
      <w:r w:rsidRPr="008B544C">
        <w:rPr>
          <w:rFonts w:ascii="Arial" w:hAnsi="Arial" w:cs="Arial"/>
          <w:sz w:val="22"/>
          <w:szCs w:val="22"/>
        </w:rPr>
        <w:t xml:space="preserve"> Net Present Value (NPV) and Internal Rate of Return (IRR), a</w:t>
      </w:r>
      <w:r w:rsidR="00657F08" w:rsidRPr="008B544C">
        <w:rPr>
          <w:rFonts w:ascii="Arial" w:hAnsi="Arial" w:cs="Arial"/>
          <w:sz w:val="22"/>
          <w:szCs w:val="22"/>
        </w:rPr>
        <w:t xml:space="preserve"> long with the principles of Time of</w:t>
      </w:r>
      <w:r w:rsidR="007B0E97" w:rsidRPr="008B544C">
        <w:rPr>
          <w:rFonts w:ascii="Arial" w:hAnsi="Arial" w:cs="Arial"/>
          <w:sz w:val="22"/>
          <w:szCs w:val="22"/>
        </w:rPr>
        <w:t xml:space="preserve"> </w:t>
      </w:r>
      <w:r w:rsidRPr="008B544C">
        <w:rPr>
          <w:rFonts w:ascii="Arial" w:hAnsi="Arial" w:cs="Arial"/>
          <w:sz w:val="22"/>
          <w:szCs w:val="22"/>
        </w:rPr>
        <w:t>money.</w:t>
      </w:r>
    </w:p>
    <w:p w14:paraId="679AF7C7" w14:textId="065CFBFB" w:rsidR="001428DE" w:rsidRPr="008B544C" w:rsidRDefault="001428DE" w:rsidP="00DC4497">
      <w:pPr>
        <w:numPr>
          <w:ilvl w:val="0"/>
          <w:numId w:val="30"/>
        </w:numPr>
        <w:rPr>
          <w:rFonts w:ascii="Arial" w:hAnsi="Arial" w:cs="Arial"/>
          <w:sz w:val="22"/>
          <w:szCs w:val="22"/>
        </w:rPr>
      </w:pPr>
      <w:r w:rsidRPr="008B544C">
        <w:rPr>
          <w:rFonts w:ascii="Arial" w:hAnsi="Arial" w:cs="Arial"/>
          <w:sz w:val="22"/>
          <w:szCs w:val="22"/>
        </w:rPr>
        <w:t>Covered  initial aspects of business valuation techniques.</w:t>
      </w:r>
    </w:p>
    <w:p w14:paraId="3F207645" w14:textId="77777777" w:rsidR="001428DE" w:rsidRPr="008B544C" w:rsidRDefault="001428DE" w:rsidP="001428DE">
      <w:pPr>
        <w:rPr>
          <w:rFonts w:ascii="Arial" w:hAnsi="Arial" w:cs="Arial"/>
          <w:sz w:val="22"/>
          <w:szCs w:val="22"/>
        </w:rPr>
      </w:pPr>
      <w:r w:rsidRPr="008B544C">
        <w:rPr>
          <w:rFonts w:ascii="Arial" w:hAnsi="Arial" w:cs="Arial"/>
          <w:b/>
          <w:bCs/>
          <w:sz w:val="22"/>
          <w:szCs w:val="22"/>
        </w:rPr>
        <w:t>Reflection: What are your thoughts? What did you find useful?</w:t>
      </w:r>
    </w:p>
    <w:p w14:paraId="5B65FAE6" w14:textId="366953CD" w:rsidR="001428DE" w:rsidRPr="008B544C" w:rsidRDefault="001428DE" w:rsidP="00DC4497">
      <w:pPr>
        <w:numPr>
          <w:ilvl w:val="0"/>
          <w:numId w:val="31"/>
        </w:numPr>
        <w:rPr>
          <w:rFonts w:ascii="Arial" w:hAnsi="Arial" w:cs="Arial"/>
          <w:sz w:val="22"/>
          <w:szCs w:val="22"/>
        </w:rPr>
      </w:pPr>
      <w:r w:rsidRPr="008B544C">
        <w:rPr>
          <w:rFonts w:ascii="Arial" w:hAnsi="Arial" w:cs="Arial"/>
          <w:sz w:val="22"/>
          <w:szCs w:val="22"/>
        </w:rPr>
        <w:t xml:space="preserve">Gained insights into  factors </w:t>
      </w:r>
      <w:r w:rsidR="00777386" w:rsidRPr="008B544C">
        <w:rPr>
          <w:rFonts w:ascii="Arial" w:hAnsi="Arial" w:cs="Arial"/>
          <w:sz w:val="22"/>
          <w:szCs w:val="22"/>
        </w:rPr>
        <w:t>which</w:t>
      </w:r>
      <w:r w:rsidRPr="008B544C">
        <w:rPr>
          <w:rFonts w:ascii="Arial" w:hAnsi="Arial" w:cs="Arial"/>
          <w:sz w:val="22"/>
          <w:szCs w:val="22"/>
        </w:rPr>
        <w:t xml:space="preserve"> impact investors’ bid prices during a company acquisition.</w:t>
      </w:r>
    </w:p>
    <w:p w14:paraId="72572E7B" w14:textId="5499CB01" w:rsidR="001428DE" w:rsidRPr="008B544C" w:rsidRDefault="008D4D99" w:rsidP="00DC4497">
      <w:pPr>
        <w:numPr>
          <w:ilvl w:val="0"/>
          <w:numId w:val="31"/>
        </w:numPr>
        <w:rPr>
          <w:rFonts w:ascii="Arial" w:hAnsi="Arial" w:cs="Arial"/>
          <w:sz w:val="22"/>
          <w:szCs w:val="22"/>
        </w:rPr>
      </w:pPr>
      <w:r w:rsidRPr="008B544C">
        <w:rPr>
          <w:rFonts w:ascii="Arial" w:hAnsi="Arial" w:cs="Arial"/>
          <w:sz w:val="22"/>
          <w:szCs w:val="22"/>
        </w:rPr>
        <w:t>At first, I found the topic difficult, but the tutor's clear explanations and practical examples made it easier to grasp.</w:t>
      </w:r>
      <w:r w:rsidR="001428DE" w:rsidRPr="008B544C">
        <w:rPr>
          <w:rFonts w:ascii="Arial" w:hAnsi="Arial" w:cs="Arial"/>
          <w:sz w:val="22"/>
          <w:szCs w:val="22"/>
        </w:rPr>
        <w:t>.</w:t>
      </w:r>
    </w:p>
    <w:p w14:paraId="159F183A" w14:textId="77777777" w:rsidR="001428DE" w:rsidRPr="008B544C" w:rsidRDefault="001428DE" w:rsidP="001428DE">
      <w:pPr>
        <w:rPr>
          <w:rFonts w:ascii="Arial" w:hAnsi="Arial" w:cs="Arial"/>
          <w:sz w:val="22"/>
          <w:szCs w:val="22"/>
        </w:rPr>
      </w:pPr>
      <w:r w:rsidRPr="008B544C">
        <w:rPr>
          <w:rFonts w:ascii="Arial" w:hAnsi="Arial" w:cs="Arial"/>
          <w:b/>
          <w:bCs/>
          <w:sz w:val="22"/>
          <w:szCs w:val="22"/>
        </w:rPr>
        <w:t>Generalization: What did you take away from the session?</w:t>
      </w:r>
    </w:p>
    <w:p w14:paraId="13712025" w14:textId="77777777" w:rsidR="001428DE" w:rsidRPr="008B544C" w:rsidRDefault="001428DE" w:rsidP="00DC4497">
      <w:pPr>
        <w:numPr>
          <w:ilvl w:val="0"/>
          <w:numId w:val="32"/>
        </w:numPr>
        <w:rPr>
          <w:rFonts w:ascii="Arial" w:hAnsi="Arial" w:cs="Arial"/>
          <w:sz w:val="22"/>
          <w:szCs w:val="22"/>
        </w:rPr>
      </w:pPr>
      <w:r w:rsidRPr="008B544C">
        <w:rPr>
          <w:rFonts w:ascii="Arial" w:hAnsi="Arial" w:cs="Arial"/>
          <w:sz w:val="22"/>
          <w:szCs w:val="22"/>
        </w:rPr>
        <w:t>Acquired a clear understanding of NPV, IRR, and the time value of money.</w:t>
      </w:r>
    </w:p>
    <w:p w14:paraId="75EAF252" w14:textId="77777777" w:rsidR="001428DE" w:rsidRPr="008B544C" w:rsidRDefault="001428DE" w:rsidP="00DC4497">
      <w:pPr>
        <w:numPr>
          <w:ilvl w:val="0"/>
          <w:numId w:val="32"/>
        </w:numPr>
        <w:rPr>
          <w:rFonts w:ascii="Arial" w:hAnsi="Arial" w:cs="Arial"/>
          <w:sz w:val="22"/>
          <w:szCs w:val="22"/>
        </w:rPr>
      </w:pPr>
      <w:r w:rsidRPr="008B544C">
        <w:rPr>
          <w:rFonts w:ascii="Arial" w:hAnsi="Arial" w:cs="Arial"/>
          <w:sz w:val="22"/>
          <w:szCs w:val="22"/>
        </w:rPr>
        <w:t>Learned about multiple approaches to business valuation introduced during the lecture.</w:t>
      </w:r>
    </w:p>
    <w:p w14:paraId="515F2D8C" w14:textId="77777777" w:rsidR="001428DE" w:rsidRPr="008B544C" w:rsidRDefault="001428DE" w:rsidP="001428DE">
      <w:pPr>
        <w:rPr>
          <w:rFonts w:ascii="Arial" w:hAnsi="Arial" w:cs="Arial"/>
          <w:sz w:val="22"/>
          <w:szCs w:val="22"/>
        </w:rPr>
      </w:pPr>
      <w:r w:rsidRPr="008B544C">
        <w:rPr>
          <w:rFonts w:ascii="Arial" w:hAnsi="Arial" w:cs="Arial"/>
          <w:b/>
          <w:bCs/>
          <w:sz w:val="22"/>
          <w:szCs w:val="22"/>
        </w:rPr>
        <w:t>Action: How will you use this knowledge?</w:t>
      </w:r>
    </w:p>
    <w:p w14:paraId="4B633424" w14:textId="77777777" w:rsidR="001428DE" w:rsidRPr="008B544C" w:rsidRDefault="001428DE" w:rsidP="00DC4497">
      <w:pPr>
        <w:numPr>
          <w:ilvl w:val="0"/>
          <w:numId w:val="33"/>
        </w:numPr>
        <w:rPr>
          <w:rFonts w:ascii="Arial" w:hAnsi="Arial" w:cs="Arial"/>
          <w:sz w:val="22"/>
          <w:szCs w:val="22"/>
        </w:rPr>
      </w:pPr>
      <w:r w:rsidRPr="008B544C">
        <w:rPr>
          <w:rFonts w:ascii="Arial" w:hAnsi="Arial" w:cs="Arial"/>
          <w:sz w:val="22"/>
          <w:szCs w:val="22"/>
        </w:rPr>
        <w:t>Will apply this understanding to evaluate the appropriate parameters when appraising selected companies.</w:t>
      </w:r>
    </w:p>
    <w:p w14:paraId="37D43294" w14:textId="77777777" w:rsidR="001428DE" w:rsidRPr="008B544C" w:rsidRDefault="001428DE" w:rsidP="00DC4497">
      <w:pPr>
        <w:numPr>
          <w:ilvl w:val="0"/>
          <w:numId w:val="33"/>
        </w:numPr>
        <w:rPr>
          <w:rFonts w:ascii="Arial" w:hAnsi="Arial" w:cs="Arial"/>
          <w:sz w:val="22"/>
          <w:szCs w:val="22"/>
        </w:rPr>
      </w:pPr>
      <w:r w:rsidRPr="008B544C">
        <w:rPr>
          <w:rFonts w:ascii="Arial" w:hAnsi="Arial" w:cs="Arial"/>
          <w:sz w:val="22"/>
          <w:szCs w:val="22"/>
        </w:rPr>
        <w:t>Inspired to review articles and recommended readings to gain deeper insights into previous studies on the chosen companies.</w:t>
      </w:r>
    </w:p>
    <w:p w14:paraId="3C61E02D" w14:textId="77777777" w:rsidR="001428DE" w:rsidRPr="008B544C" w:rsidRDefault="001428DE" w:rsidP="003761B4">
      <w:pPr>
        <w:rPr>
          <w:rFonts w:ascii="Arial" w:hAnsi="Arial" w:cs="Arial"/>
          <w:sz w:val="22"/>
          <w:szCs w:val="22"/>
        </w:rPr>
      </w:pPr>
    </w:p>
    <w:p w14:paraId="1343F4BA" w14:textId="77777777" w:rsidR="008E0ABE" w:rsidRPr="008B544C" w:rsidRDefault="008E0ABE" w:rsidP="003761B4">
      <w:pPr>
        <w:rPr>
          <w:rFonts w:ascii="Arial" w:hAnsi="Arial" w:cs="Arial"/>
          <w:sz w:val="22"/>
          <w:szCs w:val="22"/>
        </w:rPr>
      </w:pPr>
    </w:p>
    <w:p w14:paraId="5758CACE" w14:textId="77777777" w:rsidR="008E0ABE" w:rsidRPr="008B544C" w:rsidRDefault="008E0ABE" w:rsidP="003761B4">
      <w:pPr>
        <w:rPr>
          <w:rFonts w:ascii="Arial" w:hAnsi="Arial" w:cs="Arial"/>
          <w:sz w:val="22"/>
          <w:szCs w:val="22"/>
        </w:rPr>
      </w:pPr>
    </w:p>
    <w:p w14:paraId="502E2523" w14:textId="77777777" w:rsidR="008E0ABE" w:rsidRPr="008B544C" w:rsidRDefault="008E0ABE" w:rsidP="003761B4">
      <w:pPr>
        <w:rPr>
          <w:rFonts w:ascii="Arial" w:hAnsi="Arial" w:cs="Arial"/>
          <w:sz w:val="22"/>
          <w:szCs w:val="22"/>
        </w:rPr>
      </w:pPr>
    </w:p>
    <w:p w14:paraId="43E47AD3" w14:textId="77777777" w:rsidR="008E0ABE" w:rsidRPr="008B544C" w:rsidRDefault="008E0ABE" w:rsidP="003761B4">
      <w:pPr>
        <w:rPr>
          <w:rFonts w:ascii="Arial" w:hAnsi="Arial" w:cs="Arial"/>
          <w:sz w:val="22"/>
          <w:szCs w:val="22"/>
        </w:rPr>
      </w:pPr>
    </w:p>
    <w:p w14:paraId="13FDB2EF" w14:textId="77777777" w:rsidR="008E0ABE" w:rsidRPr="008B544C" w:rsidRDefault="008E0ABE" w:rsidP="003761B4">
      <w:pPr>
        <w:rPr>
          <w:rFonts w:ascii="Arial" w:hAnsi="Arial" w:cs="Arial"/>
          <w:sz w:val="22"/>
          <w:szCs w:val="22"/>
        </w:rPr>
      </w:pPr>
    </w:p>
    <w:p w14:paraId="7EAE31D4" w14:textId="77777777" w:rsidR="008E0ABE" w:rsidRPr="008B544C" w:rsidRDefault="008E0ABE" w:rsidP="003761B4">
      <w:pPr>
        <w:rPr>
          <w:rFonts w:ascii="Arial" w:hAnsi="Arial" w:cs="Arial"/>
          <w:sz w:val="22"/>
          <w:szCs w:val="22"/>
        </w:rPr>
      </w:pPr>
    </w:p>
    <w:p w14:paraId="3D045D0F" w14:textId="77777777" w:rsidR="008E0ABE" w:rsidRPr="008B544C" w:rsidRDefault="008E0ABE" w:rsidP="003761B4">
      <w:pPr>
        <w:rPr>
          <w:rFonts w:ascii="Arial" w:hAnsi="Arial" w:cs="Arial"/>
          <w:sz w:val="22"/>
          <w:szCs w:val="22"/>
        </w:rPr>
      </w:pPr>
    </w:p>
    <w:p w14:paraId="32B8F309" w14:textId="77777777" w:rsidR="008E0ABE" w:rsidRPr="008B544C" w:rsidRDefault="008E0ABE" w:rsidP="003761B4">
      <w:pPr>
        <w:rPr>
          <w:rFonts w:ascii="Arial" w:hAnsi="Arial" w:cs="Arial"/>
          <w:sz w:val="22"/>
          <w:szCs w:val="22"/>
        </w:rPr>
      </w:pPr>
    </w:p>
    <w:p w14:paraId="10445054" w14:textId="77777777" w:rsidR="0029095A" w:rsidRPr="008B544C" w:rsidRDefault="0029095A" w:rsidP="003761B4">
      <w:pPr>
        <w:rPr>
          <w:rFonts w:ascii="Arial" w:hAnsi="Arial" w:cs="Arial"/>
          <w:sz w:val="22"/>
          <w:szCs w:val="22"/>
        </w:rPr>
      </w:pPr>
    </w:p>
    <w:p w14:paraId="194FD26C" w14:textId="77777777" w:rsidR="0029095A" w:rsidRPr="008B544C" w:rsidRDefault="0029095A" w:rsidP="003761B4">
      <w:pPr>
        <w:rPr>
          <w:rFonts w:ascii="Arial" w:hAnsi="Arial" w:cs="Arial"/>
          <w:sz w:val="22"/>
          <w:szCs w:val="22"/>
        </w:rPr>
      </w:pPr>
    </w:p>
    <w:p w14:paraId="2F18E894" w14:textId="21E3AC11" w:rsidR="008E0ABE" w:rsidRPr="008B544C" w:rsidRDefault="008E0ABE" w:rsidP="008E0ABE">
      <w:pPr>
        <w:rPr>
          <w:rFonts w:ascii="Arial" w:hAnsi="Arial" w:cs="Arial"/>
          <w:sz w:val="22"/>
          <w:szCs w:val="22"/>
        </w:rPr>
      </w:pPr>
      <w:r w:rsidRPr="008B544C">
        <w:rPr>
          <w:rFonts w:ascii="Arial" w:hAnsi="Arial" w:cs="Arial"/>
          <w:b/>
          <w:bCs/>
          <w:sz w:val="22"/>
          <w:szCs w:val="22"/>
        </w:rPr>
        <w:lastRenderedPageBreak/>
        <w:t>Name:</w:t>
      </w:r>
      <w:r w:rsidRPr="008B544C">
        <w:rPr>
          <w:rFonts w:ascii="Arial" w:hAnsi="Arial" w:cs="Arial"/>
          <w:sz w:val="22"/>
          <w:szCs w:val="22"/>
        </w:rPr>
        <w:t xml:space="preserve"> Konwea Dumebi Ogechukwu</w:t>
      </w:r>
      <w:r w:rsidRPr="008B544C">
        <w:rPr>
          <w:rFonts w:ascii="Arial" w:hAnsi="Arial" w:cs="Arial"/>
          <w:sz w:val="22"/>
          <w:szCs w:val="22"/>
        </w:rPr>
        <w:br/>
      </w:r>
      <w:r w:rsidRPr="008B544C">
        <w:rPr>
          <w:rFonts w:ascii="Arial" w:hAnsi="Arial" w:cs="Arial"/>
          <w:b/>
          <w:bCs/>
          <w:sz w:val="22"/>
          <w:szCs w:val="22"/>
        </w:rPr>
        <w:t>Session:</w:t>
      </w:r>
      <w:r w:rsidRPr="008B544C">
        <w:rPr>
          <w:rFonts w:ascii="Arial" w:hAnsi="Arial" w:cs="Arial"/>
          <w:sz w:val="22"/>
          <w:szCs w:val="22"/>
        </w:rPr>
        <w:t xml:space="preserve"> Week 4</w:t>
      </w:r>
      <w:r w:rsidRPr="008B544C">
        <w:rPr>
          <w:rFonts w:ascii="Arial" w:hAnsi="Arial" w:cs="Arial"/>
          <w:sz w:val="22"/>
          <w:szCs w:val="22"/>
        </w:rPr>
        <w:br/>
      </w:r>
    </w:p>
    <w:p w14:paraId="699F4F01" w14:textId="77777777" w:rsidR="008E0ABE" w:rsidRPr="008B544C" w:rsidRDefault="008E0ABE" w:rsidP="008E0ABE">
      <w:pPr>
        <w:rPr>
          <w:rFonts w:ascii="Arial" w:hAnsi="Arial" w:cs="Arial"/>
          <w:sz w:val="22"/>
          <w:szCs w:val="22"/>
        </w:rPr>
      </w:pPr>
      <w:r w:rsidRPr="008B544C">
        <w:rPr>
          <w:rFonts w:ascii="Arial" w:hAnsi="Arial" w:cs="Arial"/>
          <w:b/>
          <w:bCs/>
          <w:sz w:val="22"/>
          <w:szCs w:val="22"/>
        </w:rPr>
        <w:t>Experience: What happened? What did you discover?</w:t>
      </w:r>
    </w:p>
    <w:p w14:paraId="1FA6C004" w14:textId="177C3204" w:rsidR="008E0ABE" w:rsidRPr="008B544C" w:rsidRDefault="00964FE9" w:rsidP="00DC4497">
      <w:pPr>
        <w:numPr>
          <w:ilvl w:val="0"/>
          <w:numId w:val="34"/>
        </w:numPr>
        <w:rPr>
          <w:rFonts w:ascii="Arial" w:hAnsi="Arial" w:cs="Arial"/>
          <w:sz w:val="22"/>
          <w:szCs w:val="22"/>
        </w:rPr>
      </w:pPr>
      <w:r w:rsidRPr="008B544C">
        <w:rPr>
          <w:rFonts w:ascii="Arial" w:hAnsi="Arial" w:cs="Arial"/>
          <w:sz w:val="22"/>
          <w:szCs w:val="22"/>
        </w:rPr>
        <w:t xml:space="preserve">Proceeded </w:t>
      </w:r>
      <w:r w:rsidR="008E0ABE" w:rsidRPr="008B544C">
        <w:rPr>
          <w:rFonts w:ascii="Arial" w:hAnsi="Arial" w:cs="Arial"/>
          <w:sz w:val="22"/>
          <w:szCs w:val="22"/>
        </w:rPr>
        <w:t xml:space="preserve"> with the </w:t>
      </w:r>
      <w:r w:rsidR="009B4556" w:rsidRPr="008B544C">
        <w:rPr>
          <w:rFonts w:ascii="Arial" w:hAnsi="Arial" w:cs="Arial"/>
          <w:sz w:val="22"/>
          <w:szCs w:val="22"/>
        </w:rPr>
        <w:t xml:space="preserve">second part  of the </w:t>
      </w:r>
      <w:r w:rsidR="008E0ABE" w:rsidRPr="008B544C">
        <w:rPr>
          <w:rFonts w:ascii="Arial" w:hAnsi="Arial" w:cs="Arial"/>
          <w:sz w:val="22"/>
          <w:szCs w:val="22"/>
        </w:rPr>
        <w:t>introduction to business valuation.</w:t>
      </w:r>
    </w:p>
    <w:p w14:paraId="5B212D72" w14:textId="11C4CF92" w:rsidR="008E0ABE" w:rsidRPr="008B544C" w:rsidRDefault="007C5A26" w:rsidP="00DC4497">
      <w:pPr>
        <w:numPr>
          <w:ilvl w:val="0"/>
          <w:numId w:val="34"/>
        </w:numPr>
        <w:rPr>
          <w:rFonts w:ascii="Arial" w:hAnsi="Arial" w:cs="Arial"/>
          <w:sz w:val="22"/>
          <w:szCs w:val="22"/>
        </w:rPr>
      </w:pPr>
      <w:r w:rsidRPr="008B544C">
        <w:rPr>
          <w:rFonts w:ascii="Arial" w:hAnsi="Arial" w:cs="Arial"/>
          <w:sz w:val="22"/>
          <w:szCs w:val="22"/>
        </w:rPr>
        <w:t xml:space="preserve">Analysed </w:t>
      </w:r>
      <w:r w:rsidR="008E0ABE" w:rsidRPr="008B544C">
        <w:rPr>
          <w:rFonts w:ascii="Arial" w:hAnsi="Arial" w:cs="Arial"/>
          <w:sz w:val="22"/>
          <w:szCs w:val="22"/>
        </w:rPr>
        <w:t xml:space="preserve"> case studies to understand practical applications of valuation methods.</w:t>
      </w:r>
    </w:p>
    <w:p w14:paraId="22D96002" w14:textId="77777777" w:rsidR="008E0ABE" w:rsidRPr="008B544C" w:rsidRDefault="008E0ABE" w:rsidP="008E0ABE">
      <w:pPr>
        <w:rPr>
          <w:rFonts w:ascii="Arial" w:hAnsi="Arial" w:cs="Arial"/>
          <w:sz w:val="22"/>
          <w:szCs w:val="22"/>
        </w:rPr>
      </w:pPr>
      <w:r w:rsidRPr="008B544C">
        <w:rPr>
          <w:rFonts w:ascii="Arial" w:hAnsi="Arial" w:cs="Arial"/>
          <w:b/>
          <w:bCs/>
          <w:sz w:val="22"/>
          <w:szCs w:val="22"/>
        </w:rPr>
        <w:t>Reflection: What are your thoughts? What did you find useful?</w:t>
      </w:r>
    </w:p>
    <w:p w14:paraId="0844EE4B" w14:textId="7D03C219" w:rsidR="008E0ABE" w:rsidRPr="008B544C" w:rsidRDefault="00F761FA" w:rsidP="00DC4497">
      <w:pPr>
        <w:numPr>
          <w:ilvl w:val="0"/>
          <w:numId w:val="35"/>
        </w:numPr>
        <w:rPr>
          <w:rFonts w:ascii="Arial" w:hAnsi="Arial" w:cs="Arial"/>
          <w:sz w:val="22"/>
          <w:szCs w:val="22"/>
        </w:rPr>
      </w:pPr>
      <w:r w:rsidRPr="008B544C">
        <w:rPr>
          <w:rFonts w:ascii="Arial" w:hAnsi="Arial" w:cs="Arial"/>
          <w:sz w:val="22"/>
          <w:szCs w:val="22"/>
        </w:rPr>
        <w:t>At first</w:t>
      </w:r>
      <w:r w:rsidR="008E0ABE" w:rsidRPr="008B544C">
        <w:rPr>
          <w:rFonts w:ascii="Arial" w:hAnsi="Arial" w:cs="Arial"/>
          <w:sz w:val="22"/>
          <w:szCs w:val="22"/>
        </w:rPr>
        <w:t xml:space="preserve">, the topic </w:t>
      </w:r>
      <w:r w:rsidRPr="008B544C">
        <w:rPr>
          <w:rFonts w:ascii="Arial" w:hAnsi="Arial" w:cs="Arial"/>
          <w:sz w:val="22"/>
          <w:szCs w:val="22"/>
        </w:rPr>
        <w:t>felt</w:t>
      </w:r>
      <w:r w:rsidR="008E0ABE" w:rsidRPr="008B544C">
        <w:rPr>
          <w:rFonts w:ascii="Arial" w:hAnsi="Arial" w:cs="Arial"/>
          <w:sz w:val="22"/>
          <w:szCs w:val="22"/>
        </w:rPr>
        <w:t xml:space="preserve"> </w:t>
      </w:r>
      <w:r w:rsidRPr="008B544C">
        <w:rPr>
          <w:rFonts w:ascii="Arial" w:hAnsi="Arial" w:cs="Arial"/>
          <w:sz w:val="22"/>
          <w:szCs w:val="22"/>
        </w:rPr>
        <w:t>difficult</w:t>
      </w:r>
      <w:r w:rsidR="008E0ABE" w:rsidRPr="008B544C">
        <w:rPr>
          <w:rFonts w:ascii="Arial" w:hAnsi="Arial" w:cs="Arial"/>
          <w:sz w:val="22"/>
          <w:szCs w:val="22"/>
        </w:rPr>
        <w:t xml:space="preserve">, but the instructor </w:t>
      </w:r>
      <w:r w:rsidR="002A56FD" w:rsidRPr="008B544C">
        <w:rPr>
          <w:rFonts w:ascii="Arial" w:hAnsi="Arial" w:cs="Arial"/>
          <w:sz w:val="22"/>
          <w:szCs w:val="22"/>
        </w:rPr>
        <w:t xml:space="preserve">simplified it </w:t>
      </w:r>
      <w:r w:rsidR="008E0ABE" w:rsidRPr="008B544C">
        <w:rPr>
          <w:rFonts w:ascii="Arial" w:hAnsi="Arial" w:cs="Arial"/>
          <w:sz w:val="22"/>
          <w:szCs w:val="22"/>
        </w:rPr>
        <w:t>approachable by using relatable everyday examples.</w:t>
      </w:r>
    </w:p>
    <w:p w14:paraId="57766440" w14:textId="77777777" w:rsidR="008E0ABE" w:rsidRPr="008B544C" w:rsidRDefault="008E0ABE" w:rsidP="00DC4497">
      <w:pPr>
        <w:numPr>
          <w:ilvl w:val="0"/>
          <w:numId w:val="35"/>
        </w:numPr>
        <w:rPr>
          <w:rFonts w:ascii="Arial" w:hAnsi="Arial" w:cs="Arial"/>
          <w:sz w:val="22"/>
          <w:szCs w:val="22"/>
        </w:rPr>
      </w:pPr>
      <w:r w:rsidRPr="008B544C">
        <w:rPr>
          <w:rFonts w:ascii="Arial" w:hAnsi="Arial" w:cs="Arial"/>
          <w:sz w:val="22"/>
          <w:szCs w:val="22"/>
        </w:rPr>
        <w:t>I now feel more confident in applying the market capitalization method for business valuations, appreciating its simplicity in calculation.</w:t>
      </w:r>
    </w:p>
    <w:p w14:paraId="73F0BD25" w14:textId="77777777" w:rsidR="008E0ABE" w:rsidRPr="008B544C" w:rsidRDefault="008E0ABE" w:rsidP="008E0ABE">
      <w:pPr>
        <w:rPr>
          <w:rFonts w:ascii="Arial" w:hAnsi="Arial" w:cs="Arial"/>
          <w:sz w:val="22"/>
          <w:szCs w:val="22"/>
        </w:rPr>
      </w:pPr>
      <w:r w:rsidRPr="008B544C">
        <w:rPr>
          <w:rFonts w:ascii="Arial" w:hAnsi="Arial" w:cs="Arial"/>
          <w:b/>
          <w:bCs/>
          <w:sz w:val="22"/>
          <w:szCs w:val="22"/>
        </w:rPr>
        <w:t>Generalization: What did you learn? What are your takeaways?</w:t>
      </w:r>
    </w:p>
    <w:p w14:paraId="759522BC" w14:textId="77777777" w:rsidR="008E0ABE" w:rsidRPr="008B544C" w:rsidRDefault="008E0ABE" w:rsidP="00DC4497">
      <w:pPr>
        <w:numPr>
          <w:ilvl w:val="0"/>
          <w:numId w:val="36"/>
        </w:numPr>
        <w:rPr>
          <w:rFonts w:ascii="Arial" w:hAnsi="Arial" w:cs="Arial"/>
          <w:sz w:val="22"/>
          <w:szCs w:val="22"/>
        </w:rPr>
      </w:pPr>
      <w:r w:rsidRPr="008B544C">
        <w:rPr>
          <w:rFonts w:ascii="Arial" w:hAnsi="Arial" w:cs="Arial"/>
          <w:sz w:val="22"/>
          <w:szCs w:val="22"/>
        </w:rPr>
        <w:t>Acquired a solid understanding of key business valuation terms necessary for evaluating enterprises.</w:t>
      </w:r>
    </w:p>
    <w:p w14:paraId="75626E85" w14:textId="63FE85C4" w:rsidR="008E0ABE" w:rsidRPr="008B544C" w:rsidRDefault="008D2230" w:rsidP="00DC4497">
      <w:pPr>
        <w:numPr>
          <w:ilvl w:val="0"/>
          <w:numId w:val="36"/>
        </w:numPr>
        <w:rPr>
          <w:rFonts w:ascii="Arial" w:hAnsi="Arial" w:cs="Arial"/>
          <w:sz w:val="22"/>
          <w:szCs w:val="22"/>
        </w:rPr>
      </w:pPr>
      <w:r w:rsidRPr="008B544C">
        <w:rPr>
          <w:rFonts w:ascii="Arial" w:hAnsi="Arial" w:cs="Arial"/>
          <w:sz w:val="22"/>
          <w:szCs w:val="22"/>
        </w:rPr>
        <w:t xml:space="preserve">Gain insight </w:t>
      </w:r>
      <w:r w:rsidR="001324EA" w:rsidRPr="008B544C">
        <w:rPr>
          <w:rFonts w:ascii="Arial" w:hAnsi="Arial" w:cs="Arial"/>
          <w:sz w:val="22"/>
          <w:szCs w:val="22"/>
        </w:rPr>
        <w:t xml:space="preserve">into </w:t>
      </w:r>
      <w:r w:rsidR="008E0ABE" w:rsidRPr="008B544C">
        <w:rPr>
          <w:rFonts w:ascii="Arial" w:hAnsi="Arial" w:cs="Arial"/>
          <w:sz w:val="22"/>
          <w:szCs w:val="22"/>
        </w:rPr>
        <w:t xml:space="preserve">the factors influencing a business’s value and the constraints </w:t>
      </w:r>
      <w:r w:rsidR="00AA7554" w:rsidRPr="008B544C">
        <w:rPr>
          <w:rFonts w:ascii="Arial" w:hAnsi="Arial" w:cs="Arial"/>
          <w:sz w:val="22"/>
          <w:szCs w:val="22"/>
        </w:rPr>
        <w:t xml:space="preserve">associated with </w:t>
      </w:r>
      <w:r w:rsidR="008E0ABE" w:rsidRPr="008B544C">
        <w:rPr>
          <w:rFonts w:ascii="Arial" w:hAnsi="Arial" w:cs="Arial"/>
          <w:sz w:val="22"/>
          <w:szCs w:val="22"/>
        </w:rPr>
        <w:t xml:space="preserve">different valuation </w:t>
      </w:r>
      <w:r w:rsidR="00AA7554" w:rsidRPr="008B544C">
        <w:rPr>
          <w:rFonts w:ascii="Arial" w:hAnsi="Arial" w:cs="Arial"/>
          <w:sz w:val="22"/>
          <w:szCs w:val="22"/>
        </w:rPr>
        <w:t>methods</w:t>
      </w:r>
      <w:r w:rsidR="008E0ABE" w:rsidRPr="008B544C">
        <w:rPr>
          <w:rFonts w:ascii="Arial" w:hAnsi="Arial" w:cs="Arial"/>
          <w:sz w:val="22"/>
          <w:szCs w:val="22"/>
        </w:rPr>
        <w:t>.</w:t>
      </w:r>
    </w:p>
    <w:p w14:paraId="5C36D7A1" w14:textId="77777777" w:rsidR="008E0ABE" w:rsidRPr="008B544C" w:rsidRDefault="008E0ABE" w:rsidP="008E0ABE">
      <w:pPr>
        <w:rPr>
          <w:rFonts w:ascii="Arial" w:hAnsi="Arial" w:cs="Arial"/>
          <w:sz w:val="22"/>
          <w:szCs w:val="22"/>
        </w:rPr>
      </w:pPr>
      <w:r w:rsidRPr="008B544C">
        <w:rPr>
          <w:rFonts w:ascii="Arial" w:hAnsi="Arial" w:cs="Arial"/>
          <w:b/>
          <w:bCs/>
          <w:sz w:val="22"/>
          <w:szCs w:val="22"/>
        </w:rPr>
        <w:t>Action: How will you apply this knowledge?</w:t>
      </w:r>
    </w:p>
    <w:p w14:paraId="3EFB2A4F" w14:textId="747C08E3" w:rsidR="008E0ABE" w:rsidRPr="008B544C" w:rsidRDefault="00806FC1" w:rsidP="00DC4497">
      <w:pPr>
        <w:numPr>
          <w:ilvl w:val="0"/>
          <w:numId w:val="37"/>
        </w:numPr>
        <w:rPr>
          <w:rFonts w:ascii="Arial" w:hAnsi="Arial" w:cs="Arial"/>
          <w:sz w:val="22"/>
          <w:szCs w:val="22"/>
        </w:rPr>
      </w:pPr>
      <w:r w:rsidRPr="008B544C">
        <w:rPr>
          <w:rFonts w:ascii="Arial" w:hAnsi="Arial" w:cs="Arial"/>
          <w:sz w:val="22"/>
          <w:szCs w:val="22"/>
        </w:rPr>
        <w:t>Plan to apply the insights acquired to assist my organization in navigating the bidding process</w:t>
      </w:r>
      <w:r w:rsidR="008E0ABE" w:rsidRPr="008B544C">
        <w:rPr>
          <w:rFonts w:ascii="Arial" w:hAnsi="Arial" w:cs="Arial"/>
          <w:sz w:val="22"/>
          <w:szCs w:val="22"/>
        </w:rPr>
        <w:t>.</w:t>
      </w:r>
    </w:p>
    <w:p w14:paraId="4492E4FA" w14:textId="4D357DEE" w:rsidR="008E0ABE" w:rsidRPr="008B544C" w:rsidRDefault="008E0ABE" w:rsidP="00DC4497">
      <w:pPr>
        <w:numPr>
          <w:ilvl w:val="0"/>
          <w:numId w:val="37"/>
        </w:numPr>
        <w:rPr>
          <w:rFonts w:ascii="Arial" w:hAnsi="Arial" w:cs="Arial"/>
          <w:sz w:val="22"/>
          <w:szCs w:val="22"/>
        </w:rPr>
      </w:pPr>
      <w:r w:rsidRPr="008B544C">
        <w:rPr>
          <w:rFonts w:ascii="Arial" w:hAnsi="Arial" w:cs="Arial"/>
          <w:sz w:val="22"/>
          <w:szCs w:val="22"/>
        </w:rPr>
        <w:t xml:space="preserve">Organized and </w:t>
      </w:r>
      <w:r w:rsidR="00C36EAA" w:rsidRPr="008B544C">
        <w:rPr>
          <w:rFonts w:ascii="Arial" w:hAnsi="Arial" w:cs="Arial"/>
          <w:sz w:val="22"/>
          <w:szCs w:val="22"/>
        </w:rPr>
        <w:t>put a</w:t>
      </w:r>
      <w:r w:rsidRPr="008B544C">
        <w:rPr>
          <w:rFonts w:ascii="Arial" w:hAnsi="Arial" w:cs="Arial"/>
          <w:sz w:val="22"/>
          <w:szCs w:val="22"/>
        </w:rPr>
        <w:t xml:space="preserve"> colleagues to share </w:t>
      </w:r>
      <w:r w:rsidR="004A6EBB" w:rsidRPr="008B544C">
        <w:rPr>
          <w:rFonts w:ascii="Arial" w:hAnsi="Arial" w:cs="Arial"/>
          <w:sz w:val="22"/>
          <w:szCs w:val="22"/>
        </w:rPr>
        <w:t xml:space="preserve">understanding </w:t>
      </w:r>
      <w:r w:rsidRPr="008B544C">
        <w:rPr>
          <w:rFonts w:ascii="Arial" w:hAnsi="Arial" w:cs="Arial"/>
          <w:sz w:val="22"/>
          <w:szCs w:val="22"/>
        </w:rPr>
        <w:t xml:space="preserve"> on business valuation </w:t>
      </w:r>
      <w:r w:rsidR="00031EEC" w:rsidRPr="008B544C">
        <w:rPr>
          <w:rFonts w:ascii="Arial" w:hAnsi="Arial" w:cs="Arial"/>
          <w:sz w:val="22"/>
          <w:szCs w:val="22"/>
        </w:rPr>
        <w:t xml:space="preserve">Tactics </w:t>
      </w:r>
      <w:r w:rsidRPr="008B544C">
        <w:rPr>
          <w:rFonts w:ascii="Arial" w:hAnsi="Arial" w:cs="Arial"/>
          <w:sz w:val="22"/>
          <w:szCs w:val="22"/>
        </w:rPr>
        <w:t>.</w:t>
      </w:r>
    </w:p>
    <w:p w14:paraId="7AC28FA3" w14:textId="77777777" w:rsidR="00675F7F" w:rsidRPr="008B544C" w:rsidRDefault="00675F7F" w:rsidP="00675F7F">
      <w:pPr>
        <w:rPr>
          <w:rFonts w:ascii="Arial" w:hAnsi="Arial" w:cs="Arial"/>
          <w:sz w:val="22"/>
          <w:szCs w:val="22"/>
        </w:rPr>
      </w:pPr>
    </w:p>
    <w:p w14:paraId="4ED178C7" w14:textId="77777777" w:rsidR="00AF07A3" w:rsidRPr="008B544C" w:rsidRDefault="00AF07A3" w:rsidP="00675F7F">
      <w:pPr>
        <w:rPr>
          <w:rFonts w:ascii="Arial" w:hAnsi="Arial" w:cs="Arial"/>
          <w:sz w:val="22"/>
          <w:szCs w:val="22"/>
        </w:rPr>
      </w:pPr>
    </w:p>
    <w:p w14:paraId="6282377C" w14:textId="77777777" w:rsidR="00AF07A3" w:rsidRPr="008B544C" w:rsidRDefault="00AF07A3" w:rsidP="00675F7F">
      <w:pPr>
        <w:rPr>
          <w:rFonts w:ascii="Arial" w:hAnsi="Arial" w:cs="Arial"/>
          <w:sz w:val="22"/>
          <w:szCs w:val="22"/>
        </w:rPr>
      </w:pPr>
    </w:p>
    <w:p w14:paraId="23A37CB1" w14:textId="77777777" w:rsidR="00AF07A3" w:rsidRPr="008B544C" w:rsidRDefault="00AF07A3" w:rsidP="00675F7F">
      <w:pPr>
        <w:rPr>
          <w:rFonts w:ascii="Arial" w:hAnsi="Arial" w:cs="Arial"/>
          <w:sz w:val="22"/>
          <w:szCs w:val="22"/>
        </w:rPr>
      </w:pPr>
    </w:p>
    <w:p w14:paraId="7E60E299" w14:textId="77777777" w:rsidR="00AF07A3" w:rsidRPr="008B544C" w:rsidRDefault="00AF07A3" w:rsidP="00675F7F">
      <w:pPr>
        <w:rPr>
          <w:rFonts w:ascii="Arial" w:hAnsi="Arial" w:cs="Arial"/>
          <w:sz w:val="22"/>
          <w:szCs w:val="22"/>
        </w:rPr>
      </w:pPr>
    </w:p>
    <w:p w14:paraId="29CA8D5B" w14:textId="77777777" w:rsidR="00AF07A3" w:rsidRPr="008B544C" w:rsidRDefault="00AF07A3" w:rsidP="00675F7F">
      <w:pPr>
        <w:rPr>
          <w:rFonts w:ascii="Arial" w:hAnsi="Arial" w:cs="Arial"/>
          <w:sz w:val="22"/>
          <w:szCs w:val="22"/>
        </w:rPr>
      </w:pPr>
    </w:p>
    <w:p w14:paraId="6E1338D6" w14:textId="77777777" w:rsidR="00AF07A3" w:rsidRPr="008B544C" w:rsidRDefault="00AF07A3" w:rsidP="00675F7F">
      <w:pPr>
        <w:rPr>
          <w:rFonts w:ascii="Arial" w:hAnsi="Arial" w:cs="Arial"/>
          <w:sz w:val="22"/>
          <w:szCs w:val="22"/>
        </w:rPr>
      </w:pPr>
    </w:p>
    <w:p w14:paraId="1140122F" w14:textId="77777777" w:rsidR="00AF07A3" w:rsidRPr="008B544C" w:rsidRDefault="00AF07A3" w:rsidP="00675F7F">
      <w:pPr>
        <w:rPr>
          <w:rFonts w:ascii="Arial" w:hAnsi="Arial" w:cs="Arial"/>
          <w:sz w:val="22"/>
          <w:szCs w:val="22"/>
        </w:rPr>
      </w:pPr>
    </w:p>
    <w:p w14:paraId="26259A61" w14:textId="77777777" w:rsidR="00AF07A3" w:rsidRPr="008B544C" w:rsidRDefault="00AF07A3" w:rsidP="00675F7F">
      <w:pPr>
        <w:rPr>
          <w:rFonts w:ascii="Arial" w:hAnsi="Arial" w:cs="Arial"/>
          <w:sz w:val="22"/>
          <w:szCs w:val="22"/>
        </w:rPr>
      </w:pPr>
    </w:p>
    <w:p w14:paraId="1E630F2B" w14:textId="77777777" w:rsidR="00AF07A3" w:rsidRPr="008B544C" w:rsidRDefault="00AF07A3" w:rsidP="00675F7F">
      <w:pPr>
        <w:rPr>
          <w:rFonts w:ascii="Arial" w:hAnsi="Arial" w:cs="Arial"/>
          <w:sz w:val="22"/>
          <w:szCs w:val="22"/>
        </w:rPr>
      </w:pPr>
    </w:p>
    <w:p w14:paraId="3B3864A9" w14:textId="77777777" w:rsidR="0029095A" w:rsidRPr="008B544C" w:rsidRDefault="0029095A" w:rsidP="00675F7F">
      <w:pPr>
        <w:rPr>
          <w:rFonts w:ascii="Arial" w:hAnsi="Arial" w:cs="Arial"/>
          <w:sz w:val="22"/>
          <w:szCs w:val="22"/>
        </w:rPr>
      </w:pPr>
    </w:p>
    <w:p w14:paraId="5C66F2E1" w14:textId="77777777" w:rsidR="0029095A" w:rsidRPr="008B544C" w:rsidRDefault="0029095A" w:rsidP="00675F7F">
      <w:pPr>
        <w:rPr>
          <w:rFonts w:ascii="Arial" w:hAnsi="Arial" w:cs="Arial"/>
          <w:sz w:val="22"/>
          <w:szCs w:val="22"/>
        </w:rPr>
      </w:pPr>
    </w:p>
    <w:p w14:paraId="7F76756B" w14:textId="77777777" w:rsidR="0029095A" w:rsidRPr="008B544C" w:rsidRDefault="0029095A" w:rsidP="00AF07A3">
      <w:pPr>
        <w:rPr>
          <w:rFonts w:ascii="Arial" w:hAnsi="Arial" w:cs="Arial"/>
          <w:b/>
          <w:bCs/>
          <w:sz w:val="22"/>
          <w:szCs w:val="22"/>
        </w:rPr>
      </w:pPr>
    </w:p>
    <w:p w14:paraId="161E5A9F" w14:textId="77777777" w:rsidR="0029095A" w:rsidRPr="008B544C" w:rsidRDefault="0029095A" w:rsidP="00AF07A3">
      <w:pPr>
        <w:rPr>
          <w:rFonts w:ascii="Arial" w:hAnsi="Arial" w:cs="Arial"/>
          <w:b/>
          <w:bCs/>
          <w:sz w:val="22"/>
          <w:szCs w:val="22"/>
        </w:rPr>
      </w:pPr>
    </w:p>
    <w:p w14:paraId="02DA9727" w14:textId="7E8381FA" w:rsidR="00AF07A3" w:rsidRPr="008B544C" w:rsidRDefault="00AF07A3" w:rsidP="00AF07A3">
      <w:pPr>
        <w:rPr>
          <w:rFonts w:ascii="Arial" w:hAnsi="Arial" w:cs="Arial"/>
          <w:sz w:val="22"/>
          <w:szCs w:val="22"/>
        </w:rPr>
      </w:pPr>
      <w:r w:rsidRPr="008B544C">
        <w:rPr>
          <w:rFonts w:ascii="Arial" w:hAnsi="Arial" w:cs="Arial"/>
          <w:b/>
          <w:bCs/>
          <w:sz w:val="22"/>
          <w:szCs w:val="22"/>
        </w:rPr>
        <w:t>Name:</w:t>
      </w:r>
      <w:r w:rsidRPr="008B544C">
        <w:rPr>
          <w:rFonts w:ascii="Arial" w:hAnsi="Arial" w:cs="Arial"/>
          <w:sz w:val="22"/>
          <w:szCs w:val="22"/>
        </w:rPr>
        <w:t xml:space="preserve"> Konwea Dumebi Ogechukwu</w:t>
      </w:r>
      <w:r w:rsidRPr="008B544C">
        <w:rPr>
          <w:rFonts w:ascii="Arial" w:hAnsi="Arial" w:cs="Arial"/>
          <w:sz w:val="22"/>
          <w:szCs w:val="22"/>
        </w:rPr>
        <w:br/>
      </w:r>
      <w:r w:rsidRPr="008B544C">
        <w:rPr>
          <w:rFonts w:ascii="Arial" w:hAnsi="Arial" w:cs="Arial"/>
          <w:b/>
          <w:bCs/>
          <w:sz w:val="22"/>
          <w:szCs w:val="22"/>
        </w:rPr>
        <w:t>Session:</w:t>
      </w:r>
      <w:r w:rsidRPr="008B544C">
        <w:rPr>
          <w:rFonts w:ascii="Arial" w:hAnsi="Arial" w:cs="Arial"/>
          <w:sz w:val="22"/>
          <w:szCs w:val="22"/>
        </w:rPr>
        <w:t xml:space="preserve"> Week 5</w:t>
      </w:r>
      <w:r w:rsidRPr="008B544C">
        <w:rPr>
          <w:rFonts w:ascii="Arial" w:hAnsi="Arial" w:cs="Arial"/>
          <w:sz w:val="22"/>
          <w:szCs w:val="22"/>
        </w:rPr>
        <w:br/>
      </w:r>
    </w:p>
    <w:p w14:paraId="16E55BA2" w14:textId="77777777" w:rsidR="00AF07A3" w:rsidRPr="008B544C" w:rsidRDefault="00AF07A3" w:rsidP="00AF07A3">
      <w:pPr>
        <w:rPr>
          <w:rFonts w:ascii="Arial" w:hAnsi="Arial" w:cs="Arial"/>
          <w:sz w:val="22"/>
          <w:szCs w:val="22"/>
        </w:rPr>
      </w:pPr>
      <w:r w:rsidRPr="008B544C">
        <w:rPr>
          <w:rFonts w:ascii="Arial" w:hAnsi="Arial" w:cs="Arial"/>
          <w:b/>
          <w:bCs/>
          <w:sz w:val="22"/>
          <w:szCs w:val="22"/>
        </w:rPr>
        <w:t>Experience: What happened? What did you learn?</w:t>
      </w:r>
    </w:p>
    <w:p w14:paraId="33DCC795" w14:textId="77777777" w:rsidR="00F17A60" w:rsidRPr="008B544C" w:rsidRDefault="00F17A60" w:rsidP="00DC4497">
      <w:pPr>
        <w:numPr>
          <w:ilvl w:val="0"/>
          <w:numId w:val="38"/>
        </w:numPr>
        <w:rPr>
          <w:rFonts w:ascii="Arial" w:hAnsi="Arial" w:cs="Arial"/>
          <w:sz w:val="22"/>
          <w:szCs w:val="22"/>
        </w:rPr>
      </w:pPr>
      <w:r w:rsidRPr="008B544C">
        <w:rPr>
          <w:rFonts w:ascii="Arial" w:hAnsi="Arial" w:cs="Arial"/>
          <w:sz w:val="22"/>
          <w:szCs w:val="22"/>
        </w:rPr>
        <w:t xml:space="preserve">Studied the principles of acquiring companies </w:t>
      </w:r>
    </w:p>
    <w:p w14:paraId="28663E80" w14:textId="074D52BC" w:rsidR="00AF07A3" w:rsidRPr="008B544C" w:rsidRDefault="00EA0289" w:rsidP="00DC4497">
      <w:pPr>
        <w:numPr>
          <w:ilvl w:val="0"/>
          <w:numId w:val="38"/>
        </w:numPr>
        <w:rPr>
          <w:rFonts w:ascii="Arial" w:hAnsi="Arial" w:cs="Arial"/>
          <w:sz w:val="22"/>
          <w:szCs w:val="22"/>
        </w:rPr>
      </w:pPr>
      <w:r w:rsidRPr="008B544C">
        <w:rPr>
          <w:rFonts w:ascii="Arial" w:hAnsi="Arial" w:cs="Arial"/>
          <w:sz w:val="22"/>
          <w:szCs w:val="22"/>
        </w:rPr>
        <w:t>Analyzed real-world examples of corporate mergers and acquisitions</w:t>
      </w:r>
      <w:r w:rsidR="00AF07A3" w:rsidRPr="008B544C">
        <w:rPr>
          <w:rFonts w:ascii="Arial" w:hAnsi="Arial" w:cs="Arial"/>
          <w:sz w:val="22"/>
          <w:szCs w:val="22"/>
        </w:rPr>
        <w:t>.</w:t>
      </w:r>
    </w:p>
    <w:p w14:paraId="75788F63" w14:textId="77777777" w:rsidR="00AF07A3" w:rsidRPr="008B544C" w:rsidRDefault="00AF07A3" w:rsidP="00AF07A3">
      <w:pPr>
        <w:rPr>
          <w:rFonts w:ascii="Arial" w:hAnsi="Arial" w:cs="Arial"/>
          <w:sz w:val="22"/>
          <w:szCs w:val="22"/>
        </w:rPr>
      </w:pPr>
      <w:r w:rsidRPr="008B544C">
        <w:rPr>
          <w:rFonts w:ascii="Arial" w:hAnsi="Arial" w:cs="Arial"/>
          <w:b/>
          <w:bCs/>
          <w:sz w:val="22"/>
          <w:szCs w:val="22"/>
        </w:rPr>
        <w:t>Reflection: What are your thoughts? What did you find useful?</w:t>
      </w:r>
    </w:p>
    <w:p w14:paraId="2D21AF78" w14:textId="6F77B644" w:rsidR="00AF07A3" w:rsidRPr="008B544C" w:rsidRDefault="00D07A2C" w:rsidP="00DC4497">
      <w:pPr>
        <w:numPr>
          <w:ilvl w:val="0"/>
          <w:numId w:val="39"/>
        </w:numPr>
        <w:rPr>
          <w:rFonts w:ascii="Arial" w:hAnsi="Arial" w:cs="Arial"/>
          <w:sz w:val="22"/>
          <w:szCs w:val="22"/>
        </w:rPr>
      </w:pPr>
      <w:r w:rsidRPr="008B544C">
        <w:rPr>
          <w:rFonts w:ascii="Arial" w:hAnsi="Arial" w:cs="Arial"/>
          <w:sz w:val="22"/>
          <w:szCs w:val="22"/>
        </w:rPr>
        <w:t>- Experienced initial confusion with complex ideas and terminology.</w:t>
      </w:r>
    </w:p>
    <w:p w14:paraId="005554A8" w14:textId="4C1F47F1" w:rsidR="00AF07A3" w:rsidRPr="008B544C" w:rsidRDefault="0085628B" w:rsidP="00DC4497">
      <w:pPr>
        <w:numPr>
          <w:ilvl w:val="0"/>
          <w:numId w:val="39"/>
        </w:numPr>
        <w:rPr>
          <w:rFonts w:ascii="Arial" w:hAnsi="Arial" w:cs="Arial"/>
          <w:sz w:val="22"/>
          <w:szCs w:val="22"/>
        </w:rPr>
      </w:pPr>
      <w:r w:rsidRPr="008B544C">
        <w:rPr>
          <w:rFonts w:ascii="Arial" w:hAnsi="Arial" w:cs="Arial"/>
          <w:sz w:val="22"/>
          <w:szCs w:val="22"/>
        </w:rPr>
        <w:t>The tutor's examples helped to clarify and simplify the material.</w:t>
      </w:r>
      <w:r w:rsidR="00AF07A3" w:rsidRPr="008B544C">
        <w:rPr>
          <w:rFonts w:ascii="Arial" w:hAnsi="Arial" w:cs="Arial"/>
          <w:sz w:val="22"/>
          <w:szCs w:val="22"/>
        </w:rPr>
        <w:t>.</w:t>
      </w:r>
    </w:p>
    <w:p w14:paraId="649D5E23" w14:textId="77777777" w:rsidR="00AF07A3" w:rsidRPr="008B544C" w:rsidRDefault="00AF07A3" w:rsidP="00AF07A3">
      <w:pPr>
        <w:rPr>
          <w:rFonts w:ascii="Arial" w:hAnsi="Arial" w:cs="Arial"/>
          <w:sz w:val="22"/>
          <w:szCs w:val="22"/>
        </w:rPr>
      </w:pPr>
      <w:r w:rsidRPr="008B544C">
        <w:rPr>
          <w:rFonts w:ascii="Arial" w:hAnsi="Arial" w:cs="Arial"/>
          <w:b/>
          <w:bCs/>
          <w:sz w:val="22"/>
          <w:szCs w:val="22"/>
        </w:rPr>
        <w:t>Generalization: What were your key takeaways?</w:t>
      </w:r>
    </w:p>
    <w:p w14:paraId="04314BE6" w14:textId="77777777" w:rsidR="00AF07A3" w:rsidRPr="008B544C" w:rsidRDefault="00AF07A3" w:rsidP="00DC4497">
      <w:pPr>
        <w:numPr>
          <w:ilvl w:val="0"/>
          <w:numId w:val="40"/>
        </w:numPr>
        <w:rPr>
          <w:rFonts w:ascii="Arial" w:hAnsi="Arial" w:cs="Arial"/>
          <w:sz w:val="22"/>
          <w:szCs w:val="22"/>
        </w:rPr>
      </w:pPr>
      <w:r w:rsidRPr="008B544C">
        <w:rPr>
          <w:rFonts w:ascii="Arial" w:hAnsi="Arial" w:cs="Arial"/>
          <w:sz w:val="22"/>
          <w:szCs w:val="22"/>
        </w:rPr>
        <w:t>Learned to assess mergers by evaluating potential risks and rewards.</w:t>
      </w:r>
    </w:p>
    <w:p w14:paraId="7239569F" w14:textId="77777777" w:rsidR="00AF07A3" w:rsidRPr="008B544C" w:rsidRDefault="00AF07A3" w:rsidP="00DC4497">
      <w:pPr>
        <w:numPr>
          <w:ilvl w:val="0"/>
          <w:numId w:val="40"/>
        </w:numPr>
        <w:rPr>
          <w:rFonts w:ascii="Arial" w:hAnsi="Arial" w:cs="Arial"/>
          <w:sz w:val="22"/>
          <w:szCs w:val="22"/>
        </w:rPr>
      </w:pPr>
      <w:r w:rsidRPr="008B544C">
        <w:rPr>
          <w:rFonts w:ascii="Arial" w:hAnsi="Arial" w:cs="Arial"/>
          <w:sz w:val="22"/>
          <w:szCs w:val="22"/>
        </w:rPr>
        <w:t>Gained insights into the intricacies of mergers and acquisitions through the analysis of case studies.</w:t>
      </w:r>
    </w:p>
    <w:p w14:paraId="1CBD0813" w14:textId="77777777" w:rsidR="00AF07A3" w:rsidRPr="008B544C" w:rsidRDefault="00AF07A3" w:rsidP="00AF07A3">
      <w:pPr>
        <w:rPr>
          <w:rFonts w:ascii="Arial" w:hAnsi="Arial" w:cs="Arial"/>
          <w:sz w:val="22"/>
          <w:szCs w:val="22"/>
        </w:rPr>
      </w:pPr>
      <w:r w:rsidRPr="008B544C">
        <w:rPr>
          <w:rFonts w:ascii="Arial" w:hAnsi="Arial" w:cs="Arial"/>
          <w:b/>
          <w:bCs/>
          <w:sz w:val="22"/>
          <w:szCs w:val="22"/>
        </w:rPr>
        <w:t>Action: How will you use this knowledge?</w:t>
      </w:r>
    </w:p>
    <w:p w14:paraId="1AEB938D" w14:textId="77777777" w:rsidR="00AF07A3" w:rsidRPr="008B544C" w:rsidRDefault="00AF07A3" w:rsidP="00DC4497">
      <w:pPr>
        <w:numPr>
          <w:ilvl w:val="0"/>
          <w:numId w:val="41"/>
        </w:numPr>
        <w:rPr>
          <w:rFonts w:ascii="Arial" w:hAnsi="Arial" w:cs="Arial"/>
          <w:sz w:val="22"/>
          <w:szCs w:val="22"/>
        </w:rPr>
      </w:pPr>
      <w:r w:rsidRPr="008B544C">
        <w:rPr>
          <w:rFonts w:ascii="Arial" w:hAnsi="Arial" w:cs="Arial"/>
          <w:sz w:val="22"/>
          <w:szCs w:val="22"/>
        </w:rPr>
        <w:t>Conducted a training session for my colleagues on mergers and acquisitions.</w:t>
      </w:r>
    </w:p>
    <w:p w14:paraId="5A88491C" w14:textId="77777777" w:rsidR="00AF07A3" w:rsidRPr="008B544C" w:rsidRDefault="00AF07A3" w:rsidP="00DC4497">
      <w:pPr>
        <w:numPr>
          <w:ilvl w:val="0"/>
          <w:numId w:val="41"/>
        </w:numPr>
        <w:rPr>
          <w:rFonts w:ascii="Arial" w:hAnsi="Arial" w:cs="Arial"/>
          <w:sz w:val="22"/>
          <w:szCs w:val="22"/>
        </w:rPr>
      </w:pPr>
      <w:r w:rsidRPr="008B544C">
        <w:rPr>
          <w:rFonts w:ascii="Arial" w:hAnsi="Arial" w:cs="Arial"/>
          <w:sz w:val="22"/>
          <w:szCs w:val="22"/>
        </w:rPr>
        <w:t>Applied the knowledge gained from the lecture to make impactful improvements to the company I selected.</w:t>
      </w:r>
    </w:p>
    <w:p w14:paraId="5C9657BD" w14:textId="77777777" w:rsidR="00AF07A3" w:rsidRPr="008B544C" w:rsidRDefault="00AF07A3" w:rsidP="00675F7F">
      <w:pPr>
        <w:rPr>
          <w:rFonts w:ascii="Arial" w:hAnsi="Arial" w:cs="Arial"/>
          <w:sz w:val="22"/>
          <w:szCs w:val="22"/>
        </w:rPr>
      </w:pPr>
    </w:p>
    <w:p w14:paraId="36FECF1F" w14:textId="77777777" w:rsidR="008E0ABE" w:rsidRPr="008B544C" w:rsidRDefault="008E0ABE" w:rsidP="003761B4">
      <w:pPr>
        <w:rPr>
          <w:rFonts w:ascii="Arial" w:hAnsi="Arial" w:cs="Arial"/>
          <w:sz w:val="22"/>
          <w:szCs w:val="22"/>
        </w:rPr>
      </w:pPr>
    </w:p>
    <w:p w14:paraId="48D0E7D3" w14:textId="77777777" w:rsidR="00327D31" w:rsidRPr="008B544C" w:rsidRDefault="00327D31" w:rsidP="003761B4">
      <w:pPr>
        <w:rPr>
          <w:rFonts w:ascii="Arial" w:hAnsi="Arial" w:cs="Arial"/>
          <w:sz w:val="22"/>
          <w:szCs w:val="22"/>
        </w:rPr>
      </w:pPr>
    </w:p>
    <w:p w14:paraId="5476A122" w14:textId="77777777" w:rsidR="00327D31" w:rsidRPr="008B544C" w:rsidRDefault="00327D31" w:rsidP="003761B4">
      <w:pPr>
        <w:rPr>
          <w:rFonts w:ascii="Arial" w:hAnsi="Arial" w:cs="Arial"/>
          <w:sz w:val="22"/>
          <w:szCs w:val="22"/>
        </w:rPr>
      </w:pPr>
    </w:p>
    <w:p w14:paraId="20FC2BAA" w14:textId="77777777" w:rsidR="00327D31" w:rsidRPr="008B544C" w:rsidRDefault="00327D31" w:rsidP="003761B4">
      <w:pPr>
        <w:rPr>
          <w:rFonts w:ascii="Arial" w:hAnsi="Arial" w:cs="Arial"/>
          <w:sz w:val="22"/>
          <w:szCs w:val="22"/>
        </w:rPr>
      </w:pPr>
    </w:p>
    <w:p w14:paraId="498169EB" w14:textId="77777777" w:rsidR="00327D31" w:rsidRPr="008B544C" w:rsidRDefault="00327D31" w:rsidP="003761B4">
      <w:pPr>
        <w:rPr>
          <w:rFonts w:ascii="Arial" w:hAnsi="Arial" w:cs="Arial"/>
          <w:sz w:val="22"/>
          <w:szCs w:val="22"/>
        </w:rPr>
      </w:pPr>
    </w:p>
    <w:p w14:paraId="3476DB35" w14:textId="77777777" w:rsidR="00327D31" w:rsidRPr="008B544C" w:rsidRDefault="00327D31" w:rsidP="003761B4">
      <w:pPr>
        <w:rPr>
          <w:rFonts w:ascii="Arial" w:hAnsi="Arial" w:cs="Arial"/>
          <w:sz w:val="22"/>
          <w:szCs w:val="22"/>
        </w:rPr>
      </w:pPr>
    </w:p>
    <w:p w14:paraId="5B0F3B6D" w14:textId="77777777" w:rsidR="00327D31" w:rsidRPr="008B544C" w:rsidRDefault="00327D31" w:rsidP="003761B4">
      <w:pPr>
        <w:rPr>
          <w:rFonts w:ascii="Arial" w:hAnsi="Arial" w:cs="Arial"/>
          <w:sz w:val="22"/>
          <w:szCs w:val="22"/>
        </w:rPr>
      </w:pPr>
    </w:p>
    <w:p w14:paraId="10A28D68" w14:textId="77777777" w:rsidR="00327D31" w:rsidRPr="008B544C" w:rsidRDefault="00327D31" w:rsidP="003761B4">
      <w:pPr>
        <w:rPr>
          <w:rFonts w:ascii="Arial" w:hAnsi="Arial" w:cs="Arial"/>
          <w:sz w:val="22"/>
          <w:szCs w:val="22"/>
        </w:rPr>
      </w:pPr>
    </w:p>
    <w:p w14:paraId="4E5E39D5" w14:textId="77777777" w:rsidR="0029095A" w:rsidRPr="008B544C" w:rsidRDefault="0029095A" w:rsidP="003761B4">
      <w:pPr>
        <w:rPr>
          <w:rFonts w:ascii="Arial" w:hAnsi="Arial" w:cs="Arial"/>
          <w:sz w:val="22"/>
          <w:szCs w:val="22"/>
        </w:rPr>
      </w:pPr>
    </w:p>
    <w:p w14:paraId="413BAA45" w14:textId="77777777" w:rsidR="0029095A" w:rsidRPr="008B544C" w:rsidRDefault="0029095A" w:rsidP="003761B4">
      <w:pPr>
        <w:rPr>
          <w:rFonts w:ascii="Arial" w:hAnsi="Arial" w:cs="Arial"/>
          <w:sz w:val="22"/>
          <w:szCs w:val="22"/>
        </w:rPr>
      </w:pPr>
    </w:p>
    <w:p w14:paraId="6FBE43AD" w14:textId="77777777" w:rsidR="00327D31" w:rsidRPr="008B544C" w:rsidRDefault="00327D31" w:rsidP="003761B4">
      <w:pPr>
        <w:rPr>
          <w:rFonts w:ascii="Arial" w:hAnsi="Arial" w:cs="Arial"/>
          <w:sz w:val="22"/>
          <w:szCs w:val="22"/>
        </w:rPr>
      </w:pPr>
    </w:p>
    <w:p w14:paraId="7EDD0E13" w14:textId="77777777" w:rsidR="000517F6" w:rsidRPr="008B544C" w:rsidRDefault="000517F6" w:rsidP="00327D31">
      <w:pPr>
        <w:rPr>
          <w:rFonts w:ascii="Arial" w:hAnsi="Arial" w:cs="Arial"/>
          <w:sz w:val="22"/>
          <w:szCs w:val="22"/>
        </w:rPr>
      </w:pPr>
    </w:p>
    <w:p w14:paraId="0B112F02" w14:textId="77777777" w:rsidR="000517F6" w:rsidRPr="008B544C" w:rsidRDefault="000517F6" w:rsidP="00327D31">
      <w:pPr>
        <w:rPr>
          <w:rFonts w:ascii="Arial" w:hAnsi="Arial" w:cs="Arial"/>
          <w:sz w:val="22"/>
          <w:szCs w:val="22"/>
        </w:rPr>
      </w:pPr>
    </w:p>
    <w:p w14:paraId="4D4F36F4" w14:textId="77777777" w:rsidR="000517F6" w:rsidRPr="008B544C" w:rsidRDefault="000517F6" w:rsidP="00327D31">
      <w:pPr>
        <w:rPr>
          <w:rFonts w:ascii="Arial" w:hAnsi="Arial" w:cs="Arial"/>
          <w:sz w:val="22"/>
          <w:szCs w:val="22"/>
        </w:rPr>
      </w:pPr>
    </w:p>
    <w:p w14:paraId="496C9D6D" w14:textId="77777777" w:rsidR="000517F6" w:rsidRPr="008B544C" w:rsidRDefault="000517F6" w:rsidP="00327D31">
      <w:pPr>
        <w:rPr>
          <w:rFonts w:ascii="Arial" w:hAnsi="Arial" w:cs="Arial"/>
          <w:sz w:val="22"/>
          <w:szCs w:val="22"/>
        </w:rPr>
      </w:pPr>
    </w:p>
    <w:p w14:paraId="43B0E90C" w14:textId="77777777" w:rsidR="000517F6" w:rsidRPr="008B544C" w:rsidRDefault="000517F6" w:rsidP="00327D31">
      <w:pPr>
        <w:rPr>
          <w:rFonts w:ascii="Arial" w:hAnsi="Arial" w:cs="Arial"/>
          <w:sz w:val="22"/>
          <w:szCs w:val="22"/>
        </w:rPr>
      </w:pPr>
    </w:p>
    <w:p w14:paraId="4585F58A" w14:textId="66E03DD4" w:rsidR="00327D31" w:rsidRPr="008B544C" w:rsidRDefault="00327D31" w:rsidP="00327D31">
      <w:pPr>
        <w:rPr>
          <w:rFonts w:ascii="Arial" w:hAnsi="Arial" w:cs="Arial"/>
          <w:sz w:val="22"/>
          <w:szCs w:val="22"/>
        </w:rPr>
      </w:pPr>
      <w:r w:rsidRPr="008B544C">
        <w:rPr>
          <w:rFonts w:ascii="Arial" w:hAnsi="Arial" w:cs="Arial"/>
          <w:sz w:val="22"/>
          <w:szCs w:val="22"/>
        </w:rPr>
        <w:t xml:space="preserve">Name: </w:t>
      </w:r>
      <w:r w:rsidR="000E66B5" w:rsidRPr="008B544C">
        <w:rPr>
          <w:rFonts w:ascii="Arial" w:hAnsi="Arial" w:cs="Arial"/>
          <w:sz w:val="22"/>
          <w:szCs w:val="22"/>
        </w:rPr>
        <w:t>Konwea Dumebi Ogechukwu</w:t>
      </w:r>
      <w:r w:rsidRPr="008B544C">
        <w:rPr>
          <w:rFonts w:ascii="Arial" w:hAnsi="Arial" w:cs="Arial"/>
          <w:sz w:val="22"/>
          <w:szCs w:val="22"/>
        </w:rPr>
        <w:br/>
        <w:t>Session: Week 6</w:t>
      </w:r>
      <w:r w:rsidRPr="008B544C">
        <w:rPr>
          <w:rFonts w:ascii="Arial" w:hAnsi="Arial" w:cs="Arial"/>
          <w:sz w:val="22"/>
          <w:szCs w:val="22"/>
        </w:rPr>
        <w:br/>
      </w:r>
    </w:p>
    <w:p w14:paraId="3F29786A" w14:textId="77777777" w:rsidR="00327D31" w:rsidRPr="008B544C" w:rsidRDefault="00327D31" w:rsidP="00327D31">
      <w:pPr>
        <w:rPr>
          <w:rFonts w:ascii="Arial" w:hAnsi="Arial" w:cs="Arial"/>
          <w:sz w:val="22"/>
          <w:szCs w:val="22"/>
        </w:rPr>
      </w:pPr>
      <w:r w:rsidRPr="008B544C">
        <w:rPr>
          <w:rFonts w:ascii="Arial" w:hAnsi="Arial" w:cs="Arial"/>
          <w:b/>
          <w:bCs/>
          <w:sz w:val="22"/>
          <w:szCs w:val="22"/>
        </w:rPr>
        <w:t>Experience:</w:t>
      </w:r>
      <w:r w:rsidRPr="008B544C">
        <w:rPr>
          <w:rFonts w:ascii="Arial" w:hAnsi="Arial" w:cs="Arial"/>
          <w:sz w:val="22"/>
          <w:szCs w:val="22"/>
        </w:rPr>
        <w:t xml:space="preserve"> What happened? What did you discover (topics covered)?</w:t>
      </w:r>
    </w:p>
    <w:p w14:paraId="34FD46B6" w14:textId="1C92F4F7" w:rsidR="00327D31" w:rsidRPr="008B544C" w:rsidRDefault="00327D31" w:rsidP="00DC4497">
      <w:pPr>
        <w:numPr>
          <w:ilvl w:val="0"/>
          <w:numId w:val="42"/>
        </w:numPr>
        <w:rPr>
          <w:rFonts w:ascii="Arial" w:hAnsi="Arial" w:cs="Arial"/>
          <w:sz w:val="22"/>
          <w:szCs w:val="22"/>
        </w:rPr>
      </w:pPr>
      <w:r w:rsidRPr="008B544C">
        <w:rPr>
          <w:rFonts w:ascii="Arial" w:hAnsi="Arial" w:cs="Arial"/>
          <w:sz w:val="22"/>
          <w:szCs w:val="22"/>
        </w:rPr>
        <w:t xml:space="preserve">I received </w:t>
      </w:r>
      <w:r w:rsidR="004B6116" w:rsidRPr="008B544C">
        <w:rPr>
          <w:rFonts w:ascii="Arial" w:hAnsi="Arial" w:cs="Arial"/>
          <w:sz w:val="22"/>
          <w:szCs w:val="22"/>
        </w:rPr>
        <w:t>further</w:t>
      </w:r>
      <w:r w:rsidRPr="008B544C">
        <w:rPr>
          <w:rFonts w:ascii="Arial" w:hAnsi="Arial" w:cs="Arial"/>
          <w:sz w:val="22"/>
          <w:szCs w:val="22"/>
        </w:rPr>
        <w:t xml:space="preserve"> </w:t>
      </w:r>
      <w:r w:rsidR="00550FD1" w:rsidRPr="008B544C">
        <w:rPr>
          <w:rFonts w:ascii="Arial" w:hAnsi="Arial" w:cs="Arial"/>
          <w:sz w:val="22"/>
          <w:szCs w:val="22"/>
        </w:rPr>
        <w:t>guidelines</w:t>
      </w:r>
      <w:r w:rsidRPr="008B544C">
        <w:rPr>
          <w:rFonts w:ascii="Arial" w:hAnsi="Arial" w:cs="Arial"/>
          <w:sz w:val="22"/>
          <w:szCs w:val="22"/>
        </w:rPr>
        <w:t xml:space="preserve"> regarding the </w:t>
      </w:r>
      <w:r w:rsidR="007B507F" w:rsidRPr="008B544C">
        <w:rPr>
          <w:rFonts w:ascii="Arial" w:hAnsi="Arial" w:cs="Arial"/>
          <w:sz w:val="22"/>
          <w:szCs w:val="22"/>
        </w:rPr>
        <w:t>assignment</w:t>
      </w:r>
      <w:r w:rsidRPr="008B544C">
        <w:rPr>
          <w:rFonts w:ascii="Arial" w:hAnsi="Arial" w:cs="Arial"/>
          <w:sz w:val="22"/>
          <w:szCs w:val="22"/>
        </w:rPr>
        <w:t xml:space="preserve"> </w:t>
      </w:r>
      <w:r w:rsidR="007B507F" w:rsidRPr="008B544C">
        <w:rPr>
          <w:rFonts w:ascii="Arial" w:hAnsi="Arial" w:cs="Arial"/>
          <w:sz w:val="22"/>
          <w:szCs w:val="22"/>
        </w:rPr>
        <w:t>Instructions.</w:t>
      </w:r>
    </w:p>
    <w:p w14:paraId="738E838A" w14:textId="195CF655" w:rsidR="00327D31" w:rsidRPr="008B544C" w:rsidRDefault="00061BF4" w:rsidP="00DC4497">
      <w:pPr>
        <w:numPr>
          <w:ilvl w:val="0"/>
          <w:numId w:val="42"/>
        </w:numPr>
        <w:rPr>
          <w:rFonts w:ascii="Arial" w:hAnsi="Arial" w:cs="Arial"/>
          <w:sz w:val="22"/>
          <w:szCs w:val="22"/>
        </w:rPr>
      </w:pPr>
      <w:r w:rsidRPr="008B544C">
        <w:rPr>
          <w:rFonts w:ascii="Arial" w:hAnsi="Arial" w:cs="Arial"/>
          <w:sz w:val="22"/>
          <w:szCs w:val="22"/>
        </w:rPr>
        <w:t xml:space="preserve">I received training on project risk </w:t>
      </w:r>
      <w:r w:rsidR="009002CC" w:rsidRPr="008B544C">
        <w:rPr>
          <w:rFonts w:ascii="Arial" w:hAnsi="Arial" w:cs="Arial"/>
          <w:sz w:val="22"/>
          <w:szCs w:val="22"/>
        </w:rPr>
        <w:t>calculations</w:t>
      </w:r>
      <w:r w:rsidRPr="008B544C">
        <w:rPr>
          <w:rFonts w:ascii="Arial" w:hAnsi="Arial" w:cs="Arial"/>
          <w:sz w:val="22"/>
          <w:szCs w:val="22"/>
        </w:rPr>
        <w:t xml:space="preserve"> and management methodologies</w:t>
      </w:r>
    </w:p>
    <w:p w14:paraId="3D5933A7" w14:textId="7F38693A" w:rsidR="00327D31" w:rsidRPr="008B544C" w:rsidRDefault="00327D31" w:rsidP="00327D31">
      <w:pPr>
        <w:rPr>
          <w:rFonts w:ascii="Arial" w:hAnsi="Arial" w:cs="Arial"/>
          <w:sz w:val="22"/>
          <w:szCs w:val="22"/>
        </w:rPr>
      </w:pPr>
      <w:r w:rsidRPr="008B544C">
        <w:rPr>
          <w:rFonts w:ascii="Arial" w:hAnsi="Arial" w:cs="Arial"/>
          <w:b/>
          <w:bCs/>
          <w:sz w:val="22"/>
          <w:szCs w:val="22"/>
        </w:rPr>
        <w:t>Reflection:</w:t>
      </w:r>
      <w:r w:rsidRPr="008B544C">
        <w:rPr>
          <w:rFonts w:ascii="Arial" w:hAnsi="Arial" w:cs="Arial"/>
          <w:sz w:val="22"/>
          <w:szCs w:val="22"/>
        </w:rPr>
        <w:t xml:space="preserve"> What are your thoughts ? What did you find </w:t>
      </w:r>
      <w:r w:rsidR="00415AEB" w:rsidRPr="008B544C">
        <w:rPr>
          <w:rFonts w:ascii="Arial" w:hAnsi="Arial" w:cs="Arial"/>
          <w:sz w:val="22"/>
          <w:szCs w:val="22"/>
        </w:rPr>
        <w:t xml:space="preserve">them </w:t>
      </w:r>
      <w:r w:rsidRPr="008B544C">
        <w:rPr>
          <w:rFonts w:ascii="Arial" w:hAnsi="Arial" w:cs="Arial"/>
          <w:sz w:val="22"/>
          <w:szCs w:val="22"/>
        </w:rPr>
        <w:t>useful?</w:t>
      </w:r>
    </w:p>
    <w:p w14:paraId="221F6483" w14:textId="4C0F5BDC" w:rsidR="00327D31" w:rsidRPr="008B544C" w:rsidRDefault="00327D31" w:rsidP="00DC4497">
      <w:pPr>
        <w:numPr>
          <w:ilvl w:val="0"/>
          <w:numId w:val="43"/>
        </w:numPr>
        <w:rPr>
          <w:rFonts w:ascii="Arial" w:hAnsi="Arial" w:cs="Arial"/>
          <w:sz w:val="22"/>
          <w:szCs w:val="22"/>
        </w:rPr>
      </w:pPr>
      <w:r w:rsidRPr="008B544C">
        <w:rPr>
          <w:rFonts w:ascii="Arial" w:hAnsi="Arial" w:cs="Arial"/>
          <w:sz w:val="22"/>
          <w:szCs w:val="22"/>
        </w:rPr>
        <w:t xml:space="preserve">The </w:t>
      </w:r>
      <w:r w:rsidR="00B13896" w:rsidRPr="008B544C">
        <w:rPr>
          <w:rFonts w:ascii="Arial" w:hAnsi="Arial" w:cs="Arial"/>
          <w:sz w:val="22"/>
          <w:szCs w:val="22"/>
        </w:rPr>
        <w:t>lecturer</w:t>
      </w:r>
      <w:r w:rsidRPr="008B544C">
        <w:rPr>
          <w:rFonts w:ascii="Arial" w:hAnsi="Arial" w:cs="Arial"/>
          <w:sz w:val="22"/>
          <w:szCs w:val="22"/>
        </w:rPr>
        <w:t xml:space="preserve"> </w:t>
      </w:r>
      <w:r w:rsidR="00B13896" w:rsidRPr="008B544C">
        <w:rPr>
          <w:rFonts w:ascii="Arial" w:hAnsi="Arial" w:cs="Arial"/>
          <w:sz w:val="22"/>
          <w:szCs w:val="22"/>
        </w:rPr>
        <w:t>analysis of risk types and approaches to risk minimization</w:t>
      </w:r>
      <w:r w:rsidR="007F16D1" w:rsidRPr="008B544C">
        <w:rPr>
          <w:rFonts w:ascii="Arial" w:hAnsi="Arial" w:cs="Arial"/>
          <w:sz w:val="22"/>
          <w:szCs w:val="22"/>
        </w:rPr>
        <w:t>,</w:t>
      </w:r>
      <w:r w:rsidR="00B13896" w:rsidRPr="008B544C">
        <w:rPr>
          <w:rFonts w:ascii="Arial" w:hAnsi="Arial" w:cs="Arial"/>
          <w:sz w:val="22"/>
          <w:szCs w:val="22"/>
        </w:rPr>
        <w:t xml:space="preserve"> </w:t>
      </w:r>
      <w:r w:rsidRPr="008B544C">
        <w:rPr>
          <w:rFonts w:ascii="Arial" w:hAnsi="Arial" w:cs="Arial"/>
          <w:sz w:val="22"/>
          <w:szCs w:val="22"/>
        </w:rPr>
        <w:t>strategies w</w:t>
      </w:r>
      <w:r w:rsidR="00502D7C" w:rsidRPr="008B544C">
        <w:rPr>
          <w:rFonts w:ascii="Arial" w:hAnsi="Arial" w:cs="Arial"/>
          <w:sz w:val="22"/>
          <w:szCs w:val="22"/>
        </w:rPr>
        <w:t>ere</w:t>
      </w:r>
      <w:r w:rsidRPr="008B544C">
        <w:rPr>
          <w:rFonts w:ascii="Arial" w:hAnsi="Arial" w:cs="Arial"/>
          <w:sz w:val="22"/>
          <w:szCs w:val="22"/>
        </w:rPr>
        <w:t xml:space="preserve"> incredibly beneficial.</w:t>
      </w:r>
    </w:p>
    <w:p w14:paraId="295FBD13" w14:textId="4C5A2BB6" w:rsidR="00327D31" w:rsidRPr="008B544C" w:rsidRDefault="00327D31" w:rsidP="00DC4497">
      <w:pPr>
        <w:numPr>
          <w:ilvl w:val="0"/>
          <w:numId w:val="43"/>
        </w:numPr>
        <w:rPr>
          <w:rFonts w:ascii="Arial" w:hAnsi="Arial" w:cs="Arial"/>
          <w:sz w:val="22"/>
          <w:szCs w:val="22"/>
        </w:rPr>
      </w:pPr>
      <w:r w:rsidRPr="008B544C">
        <w:rPr>
          <w:rFonts w:ascii="Arial" w:hAnsi="Arial" w:cs="Arial"/>
          <w:sz w:val="22"/>
          <w:szCs w:val="22"/>
        </w:rPr>
        <w:t xml:space="preserve"> </w:t>
      </w:r>
      <w:r w:rsidR="004D01AB" w:rsidRPr="008B544C">
        <w:rPr>
          <w:rFonts w:ascii="Arial" w:hAnsi="Arial" w:cs="Arial"/>
          <w:sz w:val="22"/>
          <w:szCs w:val="22"/>
        </w:rPr>
        <w:t>C</w:t>
      </w:r>
      <w:r w:rsidRPr="008B544C">
        <w:rPr>
          <w:rFonts w:ascii="Arial" w:hAnsi="Arial" w:cs="Arial"/>
          <w:sz w:val="22"/>
          <w:szCs w:val="22"/>
        </w:rPr>
        <w:t xml:space="preserve">onscious effort </w:t>
      </w:r>
      <w:r w:rsidR="00382AFD" w:rsidRPr="008B544C">
        <w:rPr>
          <w:rFonts w:ascii="Arial" w:hAnsi="Arial" w:cs="Arial"/>
          <w:sz w:val="22"/>
          <w:szCs w:val="22"/>
        </w:rPr>
        <w:t xml:space="preserve">was </w:t>
      </w:r>
      <w:r w:rsidRPr="008B544C">
        <w:rPr>
          <w:rFonts w:ascii="Arial" w:hAnsi="Arial" w:cs="Arial"/>
          <w:sz w:val="22"/>
          <w:szCs w:val="22"/>
        </w:rPr>
        <w:t xml:space="preserve">fully engage with the lecture, which </w:t>
      </w:r>
      <w:r w:rsidR="003408BF" w:rsidRPr="008B544C">
        <w:rPr>
          <w:rFonts w:ascii="Arial" w:hAnsi="Arial" w:cs="Arial"/>
          <w:sz w:val="22"/>
          <w:szCs w:val="22"/>
        </w:rPr>
        <w:t xml:space="preserve">helped </w:t>
      </w:r>
      <w:r w:rsidRPr="008B544C">
        <w:rPr>
          <w:rFonts w:ascii="Arial" w:hAnsi="Arial" w:cs="Arial"/>
          <w:sz w:val="22"/>
          <w:szCs w:val="22"/>
        </w:rPr>
        <w:t xml:space="preserve"> me </w:t>
      </w:r>
      <w:r w:rsidR="003408BF" w:rsidRPr="008B544C">
        <w:rPr>
          <w:rFonts w:ascii="Arial" w:hAnsi="Arial" w:cs="Arial"/>
          <w:sz w:val="22"/>
          <w:szCs w:val="22"/>
        </w:rPr>
        <w:t xml:space="preserve">to get </w:t>
      </w:r>
      <w:r w:rsidR="00684363" w:rsidRPr="008B544C">
        <w:rPr>
          <w:rFonts w:ascii="Arial" w:hAnsi="Arial" w:cs="Arial"/>
          <w:sz w:val="22"/>
          <w:szCs w:val="22"/>
        </w:rPr>
        <w:t>a beter understanding</w:t>
      </w:r>
      <w:r w:rsidRPr="008B544C">
        <w:rPr>
          <w:rFonts w:ascii="Arial" w:hAnsi="Arial" w:cs="Arial"/>
          <w:sz w:val="22"/>
          <w:szCs w:val="22"/>
        </w:rPr>
        <w:t xml:space="preserve"> </w:t>
      </w:r>
    </w:p>
    <w:p w14:paraId="58E54051" w14:textId="187B1635" w:rsidR="00327D31" w:rsidRPr="008B544C" w:rsidRDefault="00327D31" w:rsidP="00327D31">
      <w:pPr>
        <w:rPr>
          <w:rFonts w:ascii="Arial" w:hAnsi="Arial" w:cs="Arial"/>
          <w:sz w:val="22"/>
          <w:szCs w:val="22"/>
        </w:rPr>
      </w:pPr>
      <w:r w:rsidRPr="008B544C">
        <w:rPr>
          <w:rFonts w:ascii="Arial" w:hAnsi="Arial" w:cs="Arial"/>
          <w:b/>
          <w:bCs/>
          <w:sz w:val="22"/>
          <w:szCs w:val="22"/>
        </w:rPr>
        <w:t>Generalization:</w:t>
      </w:r>
      <w:r w:rsidRPr="008B544C">
        <w:rPr>
          <w:rFonts w:ascii="Arial" w:hAnsi="Arial" w:cs="Arial"/>
          <w:sz w:val="22"/>
          <w:szCs w:val="22"/>
        </w:rPr>
        <w:t xml:space="preserve"> What did you learn? </w:t>
      </w:r>
      <w:r w:rsidR="00BA32D7" w:rsidRPr="008B544C">
        <w:rPr>
          <w:rFonts w:ascii="Arial" w:hAnsi="Arial" w:cs="Arial"/>
          <w:sz w:val="22"/>
          <w:szCs w:val="22"/>
        </w:rPr>
        <w:t>Wha</w:t>
      </w:r>
      <w:r w:rsidR="00F243B8" w:rsidRPr="008B544C">
        <w:rPr>
          <w:rFonts w:ascii="Arial" w:hAnsi="Arial" w:cs="Arial"/>
          <w:sz w:val="22"/>
          <w:szCs w:val="22"/>
        </w:rPr>
        <w:t xml:space="preserve">t is </w:t>
      </w:r>
      <w:r w:rsidR="002862FA" w:rsidRPr="008B544C">
        <w:rPr>
          <w:rFonts w:ascii="Arial" w:hAnsi="Arial" w:cs="Arial"/>
          <w:sz w:val="22"/>
          <w:szCs w:val="22"/>
        </w:rPr>
        <w:t>your takeaways</w:t>
      </w:r>
      <w:r w:rsidRPr="008B544C">
        <w:rPr>
          <w:rFonts w:ascii="Arial" w:hAnsi="Arial" w:cs="Arial"/>
          <w:sz w:val="22"/>
          <w:szCs w:val="22"/>
        </w:rPr>
        <w:t>?</w:t>
      </w:r>
    </w:p>
    <w:p w14:paraId="6DE14907" w14:textId="450FA4D4" w:rsidR="00327D31" w:rsidRPr="008B544C" w:rsidRDefault="00327D31" w:rsidP="00DC4497">
      <w:pPr>
        <w:numPr>
          <w:ilvl w:val="0"/>
          <w:numId w:val="44"/>
        </w:numPr>
        <w:rPr>
          <w:rFonts w:ascii="Arial" w:hAnsi="Arial" w:cs="Arial"/>
          <w:sz w:val="22"/>
          <w:szCs w:val="22"/>
        </w:rPr>
      </w:pPr>
      <w:r w:rsidRPr="008B544C">
        <w:rPr>
          <w:rFonts w:ascii="Arial" w:hAnsi="Arial" w:cs="Arial"/>
          <w:sz w:val="22"/>
          <w:szCs w:val="22"/>
        </w:rPr>
        <w:t>I learn</w:t>
      </w:r>
      <w:r w:rsidR="00AB6863" w:rsidRPr="008B544C">
        <w:rPr>
          <w:rFonts w:ascii="Arial" w:hAnsi="Arial" w:cs="Arial"/>
          <w:sz w:val="22"/>
          <w:szCs w:val="22"/>
        </w:rPr>
        <w:t>t</w:t>
      </w:r>
      <w:r w:rsidRPr="008B544C">
        <w:rPr>
          <w:rFonts w:ascii="Arial" w:hAnsi="Arial" w:cs="Arial"/>
          <w:sz w:val="22"/>
          <w:szCs w:val="22"/>
        </w:rPr>
        <w:t xml:space="preserve"> </w:t>
      </w:r>
      <w:r w:rsidR="00D749B2" w:rsidRPr="008B544C">
        <w:rPr>
          <w:rFonts w:ascii="Arial" w:hAnsi="Arial" w:cs="Arial"/>
          <w:sz w:val="22"/>
          <w:szCs w:val="22"/>
        </w:rPr>
        <w:t xml:space="preserve">a </w:t>
      </w:r>
      <w:r w:rsidR="00AB6863" w:rsidRPr="008B544C">
        <w:rPr>
          <w:rFonts w:ascii="Arial" w:hAnsi="Arial" w:cs="Arial"/>
          <w:sz w:val="22"/>
          <w:szCs w:val="22"/>
        </w:rPr>
        <w:t>step -by -step</w:t>
      </w:r>
      <w:r w:rsidRPr="008B544C">
        <w:rPr>
          <w:rFonts w:ascii="Arial" w:hAnsi="Arial" w:cs="Arial"/>
          <w:sz w:val="22"/>
          <w:szCs w:val="22"/>
        </w:rPr>
        <w:t xml:space="preserve"> </w:t>
      </w:r>
      <w:r w:rsidR="00AB6863" w:rsidRPr="008B544C">
        <w:rPr>
          <w:rFonts w:ascii="Arial" w:hAnsi="Arial" w:cs="Arial"/>
          <w:sz w:val="22"/>
          <w:szCs w:val="22"/>
        </w:rPr>
        <w:t xml:space="preserve">guide </w:t>
      </w:r>
      <w:r w:rsidR="004F28AB" w:rsidRPr="008B544C">
        <w:rPr>
          <w:rFonts w:ascii="Arial" w:hAnsi="Arial" w:cs="Arial"/>
          <w:sz w:val="22"/>
          <w:szCs w:val="22"/>
        </w:rPr>
        <w:t xml:space="preserve">to the </w:t>
      </w:r>
      <w:r w:rsidRPr="008B544C">
        <w:rPr>
          <w:rFonts w:ascii="Arial" w:hAnsi="Arial" w:cs="Arial"/>
          <w:sz w:val="22"/>
          <w:szCs w:val="22"/>
        </w:rPr>
        <w:t>summative assessment brief.</w:t>
      </w:r>
    </w:p>
    <w:p w14:paraId="76BB7711" w14:textId="4D73CB25" w:rsidR="00327D31" w:rsidRPr="008B544C" w:rsidRDefault="00D7734C" w:rsidP="00DC4497">
      <w:pPr>
        <w:numPr>
          <w:ilvl w:val="0"/>
          <w:numId w:val="44"/>
        </w:numPr>
        <w:rPr>
          <w:rFonts w:ascii="Arial" w:hAnsi="Arial" w:cs="Arial"/>
          <w:sz w:val="22"/>
          <w:szCs w:val="22"/>
        </w:rPr>
      </w:pPr>
      <w:r w:rsidRPr="008B544C">
        <w:rPr>
          <w:rFonts w:ascii="Arial" w:hAnsi="Arial" w:cs="Arial"/>
          <w:sz w:val="22"/>
          <w:szCs w:val="22"/>
        </w:rPr>
        <w:t>I gained insight into the causes, effects, and prevention strategies for project risks.</w:t>
      </w:r>
      <w:r w:rsidR="00327D31" w:rsidRPr="008B544C">
        <w:rPr>
          <w:rFonts w:ascii="Arial" w:hAnsi="Arial" w:cs="Arial"/>
          <w:sz w:val="22"/>
          <w:szCs w:val="22"/>
        </w:rPr>
        <w:t>.</w:t>
      </w:r>
    </w:p>
    <w:p w14:paraId="10D3CC2D" w14:textId="14888DA3" w:rsidR="00327D31" w:rsidRPr="008B544C" w:rsidRDefault="00327D31" w:rsidP="00327D31">
      <w:pPr>
        <w:rPr>
          <w:rFonts w:ascii="Arial" w:hAnsi="Arial" w:cs="Arial"/>
          <w:sz w:val="22"/>
          <w:szCs w:val="22"/>
        </w:rPr>
      </w:pPr>
      <w:r w:rsidRPr="008B544C">
        <w:rPr>
          <w:rFonts w:ascii="Arial" w:hAnsi="Arial" w:cs="Arial"/>
          <w:b/>
          <w:bCs/>
          <w:sz w:val="22"/>
          <w:szCs w:val="22"/>
        </w:rPr>
        <w:t>Action:</w:t>
      </w:r>
      <w:r w:rsidRPr="008B544C">
        <w:rPr>
          <w:rFonts w:ascii="Arial" w:hAnsi="Arial" w:cs="Arial"/>
          <w:sz w:val="22"/>
          <w:szCs w:val="22"/>
        </w:rPr>
        <w:t xml:space="preserve"> </w:t>
      </w:r>
      <w:r w:rsidR="005F4FFC" w:rsidRPr="008B544C">
        <w:rPr>
          <w:rFonts w:ascii="Arial" w:hAnsi="Arial" w:cs="Arial"/>
          <w:sz w:val="22"/>
          <w:szCs w:val="22"/>
        </w:rPr>
        <w:t>what impact will this have on you</w:t>
      </w:r>
      <w:r w:rsidR="0012512C" w:rsidRPr="008B544C">
        <w:rPr>
          <w:rFonts w:ascii="Arial" w:hAnsi="Arial" w:cs="Arial"/>
          <w:sz w:val="22"/>
          <w:szCs w:val="22"/>
        </w:rPr>
        <w:t>r</w:t>
      </w:r>
      <w:r w:rsidRPr="008B544C">
        <w:rPr>
          <w:rFonts w:ascii="Arial" w:hAnsi="Arial" w:cs="Arial"/>
          <w:sz w:val="22"/>
          <w:szCs w:val="22"/>
        </w:rPr>
        <w:t xml:space="preserve"> </w:t>
      </w:r>
      <w:r w:rsidR="0012512C" w:rsidRPr="008B544C">
        <w:rPr>
          <w:rFonts w:ascii="Arial" w:hAnsi="Arial" w:cs="Arial"/>
          <w:sz w:val="22"/>
          <w:szCs w:val="22"/>
        </w:rPr>
        <w:t>task</w:t>
      </w:r>
      <w:r w:rsidRPr="008B544C">
        <w:rPr>
          <w:rFonts w:ascii="Arial" w:hAnsi="Arial" w:cs="Arial"/>
          <w:sz w:val="22"/>
          <w:szCs w:val="22"/>
        </w:rPr>
        <w:t xml:space="preserve">? </w:t>
      </w:r>
      <w:r w:rsidR="0040134C" w:rsidRPr="008B544C">
        <w:rPr>
          <w:rFonts w:ascii="Arial" w:hAnsi="Arial" w:cs="Arial"/>
          <w:sz w:val="22"/>
          <w:szCs w:val="22"/>
        </w:rPr>
        <w:t xml:space="preserve">What change will you make to your </w:t>
      </w:r>
      <w:r w:rsidRPr="008B544C">
        <w:rPr>
          <w:rFonts w:ascii="Arial" w:hAnsi="Arial" w:cs="Arial"/>
          <w:sz w:val="22"/>
          <w:szCs w:val="22"/>
        </w:rPr>
        <w:t>assignment</w:t>
      </w:r>
      <w:r w:rsidR="0040134C" w:rsidRPr="008B544C">
        <w:rPr>
          <w:rFonts w:ascii="Arial" w:hAnsi="Arial" w:cs="Arial"/>
          <w:sz w:val="22"/>
          <w:szCs w:val="22"/>
        </w:rPr>
        <w:t xml:space="preserve"> appraoch</w:t>
      </w:r>
      <w:r w:rsidRPr="008B544C">
        <w:rPr>
          <w:rFonts w:ascii="Arial" w:hAnsi="Arial" w:cs="Arial"/>
          <w:sz w:val="22"/>
          <w:szCs w:val="22"/>
        </w:rPr>
        <w:t>?</w:t>
      </w:r>
    </w:p>
    <w:p w14:paraId="284C9DB6" w14:textId="29CAA6D8" w:rsidR="00327D31" w:rsidRPr="008B544C" w:rsidRDefault="00327D31" w:rsidP="00DC4497">
      <w:pPr>
        <w:numPr>
          <w:ilvl w:val="0"/>
          <w:numId w:val="45"/>
        </w:numPr>
        <w:rPr>
          <w:rFonts w:ascii="Arial" w:hAnsi="Arial" w:cs="Arial"/>
          <w:sz w:val="22"/>
          <w:szCs w:val="22"/>
        </w:rPr>
      </w:pPr>
      <w:r w:rsidRPr="008B544C">
        <w:rPr>
          <w:rFonts w:ascii="Arial" w:hAnsi="Arial" w:cs="Arial"/>
          <w:sz w:val="22"/>
          <w:szCs w:val="22"/>
        </w:rPr>
        <w:t xml:space="preserve">I have </w:t>
      </w:r>
      <w:r w:rsidR="00222F65" w:rsidRPr="008B544C">
        <w:rPr>
          <w:rFonts w:ascii="Arial" w:hAnsi="Arial" w:cs="Arial"/>
          <w:sz w:val="22"/>
          <w:szCs w:val="22"/>
        </w:rPr>
        <w:t>identified</w:t>
      </w:r>
      <w:r w:rsidR="00DA514E" w:rsidRPr="008B544C">
        <w:rPr>
          <w:rFonts w:ascii="Arial" w:hAnsi="Arial" w:cs="Arial"/>
          <w:sz w:val="22"/>
          <w:szCs w:val="22"/>
        </w:rPr>
        <w:t xml:space="preserve"> two </w:t>
      </w:r>
      <w:r w:rsidRPr="008B544C">
        <w:rPr>
          <w:rFonts w:ascii="Arial" w:hAnsi="Arial" w:cs="Arial"/>
          <w:sz w:val="22"/>
          <w:szCs w:val="22"/>
        </w:rPr>
        <w:t>categories</w:t>
      </w:r>
      <w:r w:rsidR="00F65776" w:rsidRPr="008B544C">
        <w:rPr>
          <w:rFonts w:ascii="Arial" w:hAnsi="Arial" w:cs="Arial"/>
          <w:sz w:val="22"/>
          <w:szCs w:val="22"/>
        </w:rPr>
        <w:t xml:space="preserve"> of risk</w:t>
      </w:r>
      <w:r w:rsidR="00AF5B19" w:rsidRPr="008B544C">
        <w:rPr>
          <w:rFonts w:ascii="Arial" w:hAnsi="Arial" w:cs="Arial"/>
          <w:sz w:val="22"/>
          <w:szCs w:val="22"/>
        </w:rPr>
        <w:t>s</w:t>
      </w:r>
      <w:r w:rsidRPr="008B544C">
        <w:rPr>
          <w:rFonts w:ascii="Arial" w:hAnsi="Arial" w:cs="Arial"/>
          <w:sz w:val="22"/>
          <w:szCs w:val="22"/>
        </w:rPr>
        <w:t xml:space="preserve">, </w:t>
      </w:r>
      <w:r w:rsidR="00192FE1" w:rsidRPr="008B544C">
        <w:rPr>
          <w:rFonts w:ascii="Arial" w:hAnsi="Arial" w:cs="Arial"/>
          <w:sz w:val="22"/>
          <w:szCs w:val="22"/>
        </w:rPr>
        <w:t>acquired from the</w:t>
      </w:r>
      <w:r w:rsidRPr="008B544C">
        <w:rPr>
          <w:rFonts w:ascii="Arial" w:hAnsi="Arial" w:cs="Arial"/>
          <w:sz w:val="22"/>
          <w:szCs w:val="22"/>
        </w:rPr>
        <w:t xml:space="preserve"> lecture</w:t>
      </w:r>
      <w:r w:rsidR="004A6E5B" w:rsidRPr="008B544C">
        <w:rPr>
          <w:rFonts w:ascii="Arial" w:hAnsi="Arial" w:cs="Arial"/>
          <w:sz w:val="22"/>
          <w:szCs w:val="22"/>
        </w:rPr>
        <w:t xml:space="preserve"> insight </w:t>
      </w:r>
      <w:r w:rsidRPr="008B544C">
        <w:rPr>
          <w:rFonts w:ascii="Arial" w:hAnsi="Arial" w:cs="Arial"/>
          <w:sz w:val="22"/>
          <w:szCs w:val="22"/>
        </w:rPr>
        <w:t>, and have applied this to update</w:t>
      </w:r>
      <w:r w:rsidR="001A6DF0" w:rsidRPr="008B544C">
        <w:rPr>
          <w:rFonts w:ascii="Arial" w:hAnsi="Arial" w:cs="Arial"/>
          <w:sz w:val="22"/>
          <w:szCs w:val="22"/>
        </w:rPr>
        <w:t xml:space="preserve"> the corporate </w:t>
      </w:r>
      <w:r w:rsidRPr="008B544C">
        <w:rPr>
          <w:rFonts w:ascii="Arial" w:hAnsi="Arial" w:cs="Arial"/>
          <w:sz w:val="22"/>
          <w:szCs w:val="22"/>
        </w:rPr>
        <w:t xml:space="preserve"> risk assessment </w:t>
      </w:r>
      <w:r w:rsidR="00E94985" w:rsidRPr="008B544C">
        <w:rPr>
          <w:rFonts w:ascii="Arial" w:hAnsi="Arial" w:cs="Arial"/>
          <w:sz w:val="22"/>
          <w:szCs w:val="22"/>
        </w:rPr>
        <w:t>procedure</w:t>
      </w:r>
      <w:r w:rsidRPr="008B544C">
        <w:rPr>
          <w:rFonts w:ascii="Arial" w:hAnsi="Arial" w:cs="Arial"/>
          <w:sz w:val="22"/>
          <w:szCs w:val="22"/>
        </w:rPr>
        <w:t>.</w:t>
      </w:r>
    </w:p>
    <w:p w14:paraId="1E4B0DE9" w14:textId="5660F456" w:rsidR="00327D31" w:rsidRPr="008B544C" w:rsidRDefault="00327D31" w:rsidP="00DC4497">
      <w:pPr>
        <w:numPr>
          <w:ilvl w:val="0"/>
          <w:numId w:val="45"/>
        </w:numPr>
        <w:rPr>
          <w:rFonts w:ascii="Arial" w:hAnsi="Arial" w:cs="Arial"/>
          <w:sz w:val="22"/>
          <w:szCs w:val="22"/>
        </w:rPr>
      </w:pPr>
      <w:r w:rsidRPr="008B544C">
        <w:rPr>
          <w:rFonts w:ascii="Arial" w:hAnsi="Arial" w:cs="Arial"/>
          <w:sz w:val="22"/>
          <w:szCs w:val="22"/>
        </w:rPr>
        <w:t>I</w:t>
      </w:r>
      <w:r w:rsidR="00421891" w:rsidRPr="008B544C">
        <w:rPr>
          <w:rFonts w:ascii="Arial" w:hAnsi="Arial" w:cs="Arial"/>
          <w:sz w:val="22"/>
          <w:szCs w:val="22"/>
        </w:rPr>
        <w:t xml:space="preserve"> have started</w:t>
      </w:r>
      <w:r w:rsidRPr="008B544C">
        <w:rPr>
          <w:rFonts w:ascii="Arial" w:hAnsi="Arial" w:cs="Arial"/>
          <w:sz w:val="22"/>
          <w:szCs w:val="22"/>
        </w:rPr>
        <w:t xml:space="preserve"> </w:t>
      </w:r>
      <w:r w:rsidR="00421891" w:rsidRPr="008B544C">
        <w:rPr>
          <w:rFonts w:ascii="Arial" w:hAnsi="Arial" w:cs="Arial"/>
          <w:sz w:val="22"/>
          <w:szCs w:val="22"/>
        </w:rPr>
        <w:t xml:space="preserve">preparing </w:t>
      </w:r>
      <w:r w:rsidRPr="008B544C">
        <w:rPr>
          <w:rFonts w:ascii="Arial" w:hAnsi="Arial" w:cs="Arial"/>
          <w:sz w:val="22"/>
          <w:szCs w:val="22"/>
        </w:rPr>
        <w:t>my</w:t>
      </w:r>
      <w:r w:rsidR="00F4159F" w:rsidRPr="008B544C">
        <w:rPr>
          <w:rFonts w:ascii="Arial" w:hAnsi="Arial" w:cs="Arial"/>
          <w:sz w:val="22"/>
          <w:szCs w:val="22"/>
        </w:rPr>
        <w:t xml:space="preserve"> final summative</w:t>
      </w:r>
      <w:r w:rsidRPr="008B544C">
        <w:rPr>
          <w:rFonts w:ascii="Arial" w:hAnsi="Arial" w:cs="Arial"/>
          <w:sz w:val="22"/>
          <w:szCs w:val="22"/>
        </w:rPr>
        <w:t xml:space="preserve"> assessment.</w:t>
      </w:r>
    </w:p>
    <w:p w14:paraId="3989197B" w14:textId="77777777" w:rsidR="00926A21" w:rsidRPr="008B544C" w:rsidRDefault="00926A21" w:rsidP="00926A21">
      <w:pPr>
        <w:rPr>
          <w:rFonts w:ascii="Arial" w:hAnsi="Arial" w:cs="Arial"/>
          <w:sz w:val="22"/>
          <w:szCs w:val="22"/>
        </w:rPr>
      </w:pPr>
    </w:p>
    <w:p w14:paraId="24CEF4C9" w14:textId="77777777" w:rsidR="00926A21" w:rsidRPr="008B544C" w:rsidRDefault="00926A21" w:rsidP="00926A21">
      <w:pPr>
        <w:rPr>
          <w:rFonts w:ascii="Arial" w:hAnsi="Arial" w:cs="Arial"/>
          <w:sz w:val="22"/>
          <w:szCs w:val="22"/>
        </w:rPr>
      </w:pPr>
    </w:p>
    <w:p w14:paraId="145B96B4" w14:textId="77777777" w:rsidR="00926A21" w:rsidRPr="008B544C" w:rsidRDefault="00926A21" w:rsidP="00926A21">
      <w:pPr>
        <w:rPr>
          <w:rFonts w:ascii="Arial" w:hAnsi="Arial" w:cs="Arial"/>
          <w:sz w:val="22"/>
          <w:szCs w:val="22"/>
        </w:rPr>
      </w:pPr>
    </w:p>
    <w:p w14:paraId="6294F7FD" w14:textId="77777777" w:rsidR="00926A21" w:rsidRPr="008B544C" w:rsidRDefault="00926A21" w:rsidP="00926A21">
      <w:pPr>
        <w:rPr>
          <w:rFonts w:ascii="Arial" w:hAnsi="Arial" w:cs="Arial"/>
          <w:sz w:val="22"/>
          <w:szCs w:val="22"/>
        </w:rPr>
      </w:pPr>
    </w:p>
    <w:p w14:paraId="30A0D4A1" w14:textId="77777777" w:rsidR="00926A21" w:rsidRPr="008B544C" w:rsidRDefault="00926A21" w:rsidP="00926A21">
      <w:pPr>
        <w:rPr>
          <w:rFonts w:ascii="Arial" w:hAnsi="Arial" w:cs="Arial"/>
          <w:sz w:val="22"/>
          <w:szCs w:val="22"/>
        </w:rPr>
      </w:pPr>
    </w:p>
    <w:p w14:paraId="099D0324" w14:textId="77777777" w:rsidR="00926A21" w:rsidRPr="008B544C" w:rsidRDefault="00926A21" w:rsidP="00926A21">
      <w:pPr>
        <w:rPr>
          <w:rFonts w:ascii="Arial" w:hAnsi="Arial" w:cs="Arial"/>
          <w:sz w:val="22"/>
          <w:szCs w:val="22"/>
        </w:rPr>
      </w:pPr>
    </w:p>
    <w:p w14:paraId="57021264" w14:textId="77777777" w:rsidR="00926A21" w:rsidRPr="008B544C" w:rsidRDefault="00926A21" w:rsidP="00926A21">
      <w:pPr>
        <w:rPr>
          <w:rFonts w:ascii="Arial" w:hAnsi="Arial" w:cs="Arial"/>
          <w:sz w:val="22"/>
          <w:szCs w:val="22"/>
        </w:rPr>
      </w:pPr>
    </w:p>
    <w:p w14:paraId="5EC3C1ED" w14:textId="77777777" w:rsidR="00926A21" w:rsidRPr="008B544C" w:rsidRDefault="00926A21" w:rsidP="00926A21">
      <w:pPr>
        <w:rPr>
          <w:rFonts w:ascii="Arial" w:hAnsi="Arial" w:cs="Arial"/>
          <w:sz w:val="22"/>
          <w:szCs w:val="22"/>
        </w:rPr>
      </w:pPr>
    </w:p>
    <w:p w14:paraId="175288C2" w14:textId="77777777" w:rsidR="00926A21" w:rsidRPr="008B544C" w:rsidRDefault="00926A21" w:rsidP="00926A21">
      <w:pPr>
        <w:rPr>
          <w:rFonts w:ascii="Arial" w:hAnsi="Arial" w:cs="Arial"/>
          <w:sz w:val="22"/>
          <w:szCs w:val="22"/>
        </w:rPr>
      </w:pPr>
    </w:p>
    <w:p w14:paraId="6285FEAC" w14:textId="77777777" w:rsidR="00926A21" w:rsidRPr="008B544C" w:rsidRDefault="00926A21" w:rsidP="00926A21">
      <w:pPr>
        <w:rPr>
          <w:rFonts w:ascii="Arial" w:hAnsi="Arial" w:cs="Arial"/>
          <w:sz w:val="22"/>
          <w:szCs w:val="22"/>
        </w:rPr>
      </w:pPr>
    </w:p>
    <w:p w14:paraId="02199C19" w14:textId="77777777" w:rsidR="00926A21" w:rsidRPr="008B544C" w:rsidRDefault="00926A21" w:rsidP="00926A21">
      <w:pPr>
        <w:rPr>
          <w:rFonts w:ascii="Arial" w:hAnsi="Arial" w:cs="Arial"/>
          <w:sz w:val="22"/>
          <w:szCs w:val="22"/>
        </w:rPr>
      </w:pPr>
    </w:p>
    <w:p w14:paraId="536BE454" w14:textId="77777777" w:rsidR="00926A21" w:rsidRPr="008B544C" w:rsidRDefault="00926A21" w:rsidP="00926A21">
      <w:pPr>
        <w:rPr>
          <w:rFonts w:ascii="Arial" w:hAnsi="Arial" w:cs="Arial"/>
          <w:sz w:val="22"/>
          <w:szCs w:val="22"/>
        </w:rPr>
      </w:pPr>
    </w:p>
    <w:p w14:paraId="366C6463" w14:textId="77777777" w:rsidR="000517F6" w:rsidRPr="008B544C" w:rsidRDefault="000517F6" w:rsidP="00926A21">
      <w:pPr>
        <w:rPr>
          <w:rFonts w:ascii="Arial" w:hAnsi="Arial" w:cs="Arial"/>
          <w:sz w:val="22"/>
          <w:szCs w:val="22"/>
        </w:rPr>
      </w:pPr>
    </w:p>
    <w:p w14:paraId="6D4545F4" w14:textId="77777777" w:rsidR="000517F6" w:rsidRPr="008B544C" w:rsidRDefault="000517F6" w:rsidP="00926A21">
      <w:pPr>
        <w:rPr>
          <w:rFonts w:ascii="Arial" w:hAnsi="Arial" w:cs="Arial"/>
          <w:sz w:val="22"/>
          <w:szCs w:val="22"/>
        </w:rPr>
      </w:pPr>
    </w:p>
    <w:p w14:paraId="61508E47" w14:textId="775404B3" w:rsidR="00926A21" w:rsidRPr="008B544C" w:rsidRDefault="00926A21" w:rsidP="00926A21">
      <w:pPr>
        <w:rPr>
          <w:rFonts w:ascii="Arial" w:hAnsi="Arial" w:cs="Arial"/>
          <w:sz w:val="22"/>
          <w:szCs w:val="22"/>
        </w:rPr>
      </w:pPr>
      <w:r w:rsidRPr="008B544C">
        <w:rPr>
          <w:rFonts w:ascii="Arial" w:hAnsi="Arial" w:cs="Arial"/>
          <w:sz w:val="22"/>
          <w:szCs w:val="22"/>
        </w:rPr>
        <w:t>Name: Konwea Dumebi Ogechukwu</w:t>
      </w:r>
      <w:r w:rsidRPr="008B544C">
        <w:rPr>
          <w:rFonts w:ascii="Arial" w:hAnsi="Arial" w:cs="Arial"/>
          <w:sz w:val="22"/>
          <w:szCs w:val="22"/>
        </w:rPr>
        <w:br/>
        <w:t>Session: Week 7</w:t>
      </w:r>
      <w:r w:rsidRPr="008B544C">
        <w:rPr>
          <w:rFonts w:ascii="Arial" w:hAnsi="Arial" w:cs="Arial"/>
          <w:sz w:val="22"/>
          <w:szCs w:val="22"/>
        </w:rPr>
        <w:br/>
      </w:r>
    </w:p>
    <w:p w14:paraId="6A6F1F2B" w14:textId="0AA98FCC" w:rsidR="00926A21" w:rsidRPr="008B544C" w:rsidRDefault="00926A21" w:rsidP="00926A21">
      <w:pPr>
        <w:rPr>
          <w:rFonts w:ascii="Arial" w:hAnsi="Arial" w:cs="Arial"/>
          <w:sz w:val="22"/>
          <w:szCs w:val="22"/>
        </w:rPr>
      </w:pPr>
      <w:r w:rsidRPr="008B544C">
        <w:rPr>
          <w:rFonts w:ascii="Arial" w:hAnsi="Arial" w:cs="Arial"/>
          <w:b/>
          <w:bCs/>
          <w:sz w:val="22"/>
          <w:szCs w:val="22"/>
        </w:rPr>
        <w:t>Experience:</w:t>
      </w:r>
      <w:r w:rsidRPr="008B544C">
        <w:rPr>
          <w:rFonts w:ascii="Arial" w:hAnsi="Arial" w:cs="Arial"/>
          <w:sz w:val="22"/>
          <w:szCs w:val="22"/>
        </w:rPr>
        <w:t xml:space="preserve"> What happened? What did you </w:t>
      </w:r>
      <w:r w:rsidR="00FE6C2F" w:rsidRPr="008B544C">
        <w:rPr>
          <w:rFonts w:ascii="Arial" w:hAnsi="Arial" w:cs="Arial"/>
          <w:sz w:val="22"/>
          <w:szCs w:val="22"/>
        </w:rPr>
        <w:t>Learn</w:t>
      </w:r>
      <w:r w:rsidRPr="008B544C">
        <w:rPr>
          <w:rFonts w:ascii="Arial" w:hAnsi="Arial" w:cs="Arial"/>
          <w:sz w:val="22"/>
          <w:szCs w:val="22"/>
        </w:rPr>
        <w:t xml:space="preserve"> </w:t>
      </w:r>
      <w:r w:rsidR="00E70409" w:rsidRPr="008B544C">
        <w:rPr>
          <w:rFonts w:ascii="Arial" w:hAnsi="Arial" w:cs="Arial"/>
          <w:sz w:val="22"/>
          <w:szCs w:val="22"/>
        </w:rPr>
        <w:t>,</w:t>
      </w:r>
      <w:r w:rsidRPr="008B544C">
        <w:rPr>
          <w:rFonts w:ascii="Arial" w:hAnsi="Arial" w:cs="Arial"/>
          <w:sz w:val="22"/>
          <w:szCs w:val="22"/>
        </w:rPr>
        <w:t>topics covered?</w:t>
      </w:r>
    </w:p>
    <w:p w14:paraId="440BAB9B" w14:textId="77BC4DFD" w:rsidR="00926A21" w:rsidRPr="008B544C" w:rsidRDefault="00926A21" w:rsidP="00DC4497">
      <w:pPr>
        <w:numPr>
          <w:ilvl w:val="0"/>
          <w:numId w:val="46"/>
        </w:numPr>
        <w:rPr>
          <w:rFonts w:ascii="Arial" w:hAnsi="Arial" w:cs="Arial"/>
          <w:sz w:val="22"/>
          <w:szCs w:val="22"/>
        </w:rPr>
      </w:pPr>
      <w:r w:rsidRPr="008B544C">
        <w:rPr>
          <w:rFonts w:ascii="Arial" w:hAnsi="Arial" w:cs="Arial"/>
          <w:sz w:val="22"/>
          <w:szCs w:val="22"/>
        </w:rPr>
        <w:t>I learn</w:t>
      </w:r>
      <w:r w:rsidR="00FF7346" w:rsidRPr="008B544C">
        <w:rPr>
          <w:rFonts w:ascii="Arial" w:hAnsi="Arial" w:cs="Arial"/>
          <w:sz w:val="22"/>
          <w:szCs w:val="22"/>
        </w:rPr>
        <w:t>t</w:t>
      </w:r>
      <w:r w:rsidRPr="008B544C">
        <w:rPr>
          <w:rFonts w:ascii="Arial" w:hAnsi="Arial" w:cs="Arial"/>
          <w:sz w:val="22"/>
          <w:szCs w:val="22"/>
        </w:rPr>
        <w:t xml:space="preserve"> meanings of management control</w:t>
      </w:r>
      <w:r w:rsidR="0002542F" w:rsidRPr="008B544C">
        <w:rPr>
          <w:rFonts w:ascii="Arial" w:hAnsi="Arial" w:cs="Arial"/>
          <w:sz w:val="22"/>
          <w:szCs w:val="22"/>
        </w:rPr>
        <w:t xml:space="preserve"> Terminologies</w:t>
      </w:r>
      <w:r w:rsidRPr="008B544C">
        <w:rPr>
          <w:rFonts w:ascii="Arial" w:hAnsi="Arial" w:cs="Arial"/>
          <w:sz w:val="22"/>
          <w:szCs w:val="22"/>
        </w:rPr>
        <w:t>.</w:t>
      </w:r>
    </w:p>
    <w:p w14:paraId="0EC3443C" w14:textId="25FDE721" w:rsidR="00926A21" w:rsidRPr="008B544C" w:rsidRDefault="00926A21" w:rsidP="00DC4497">
      <w:pPr>
        <w:numPr>
          <w:ilvl w:val="0"/>
          <w:numId w:val="46"/>
        </w:numPr>
        <w:rPr>
          <w:rFonts w:ascii="Arial" w:hAnsi="Arial" w:cs="Arial"/>
          <w:sz w:val="22"/>
          <w:szCs w:val="22"/>
        </w:rPr>
      </w:pPr>
      <w:r w:rsidRPr="008B544C">
        <w:rPr>
          <w:rFonts w:ascii="Arial" w:hAnsi="Arial" w:cs="Arial"/>
          <w:sz w:val="22"/>
          <w:szCs w:val="22"/>
        </w:rPr>
        <w:t xml:space="preserve">I was introduced </w:t>
      </w:r>
      <w:r w:rsidR="008C6DA7" w:rsidRPr="008B544C">
        <w:rPr>
          <w:rFonts w:ascii="Arial" w:hAnsi="Arial" w:cs="Arial"/>
          <w:sz w:val="22"/>
          <w:szCs w:val="22"/>
        </w:rPr>
        <w:t xml:space="preserve">with regards to </w:t>
      </w:r>
      <w:r w:rsidRPr="008B544C">
        <w:rPr>
          <w:rFonts w:ascii="Arial" w:hAnsi="Arial" w:cs="Arial"/>
          <w:sz w:val="22"/>
          <w:szCs w:val="22"/>
        </w:rPr>
        <w:t xml:space="preserve"> process of critiquing scholarly papers.</w:t>
      </w:r>
    </w:p>
    <w:p w14:paraId="741D6CFD" w14:textId="77777777" w:rsidR="00926A21" w:rsidRPr="008B544C" w:rsidRDefault="00926A21" w:rsidP="00926A21">
      <w:pPr>
        <w:rPr>
          <w:rFonts w:ascii="Arial" w:hAnsi="Arial" w:cs="Arial"/>
          <w:sz w:val="22"/>
          <w:szCs w:val="22"/>
        </w:rPr>
      </w:pPr>
      <w:r w:rsidRPr="008B544C">
        <w:rPr>
          <w:rFonts w:ascii="Arial" w:hAnsi="Arial" w:cs="Arial"/>
          <w:b/>
          <w:bCs/>
          <w:sz w:val="22"/>
          <w:szCs w:val="22"/>
        </w:rPr>
        <w:t>Reflection:</w:t>
      </w:r>
      <w:r w:rsidRPr="008B544C">
        <w:rPr>
          <w:rFonts w:ascii="Arial" w:hAnsi="Arial" w:cs="Arial"/>
          <w:sz w:val="22"/>
          <w:szCs w:val="22"/>
        </w:rPr>
        <w:t xml:space="preserve"> What are your thoughts on your experience? What did you find useful?</w:t>
      </w:r>
    </w:p>
    <w:p w14:paraId="2A852D1C" w14:textId="0E40C60D" w:rsidR="00FE1ECB" w:rsidRPr="008B544C" w:rsidRDefault="00926A21" w:rsidP="00152F7D">
      <w:pPr>
        <w:numPr>
          <w:ilvl w:val="0"/>
          <w:numId w:val="47"/>
        </w:numPr>
        <w:rPr>
          <w:rFonts w:ascii="Arial" w:hAnsi="Arial" w:cs="Arial"/>
          <w:sz w:val="22"/>
          <w:szCs w:val="22"/>
        </w:rPr>
      </w:pPr>
      <w:r w:rsidRPr="008B544C">
        <w:rPr>
          <w:rFonts w:ascii="Arial" w:hAnsi="Arial" w:cs="Arial"/>
          <w:sz w:val="22"/>
          <w:szCs w:val="22"/>
        </w:rPr>
        <w:t xml:space="preserve">Since I </w:t>
      </w:r>
      <w:r w:rsidR="00A054C6" w:rsidRPr="008B544C">
        <w:rPr>
          <w:rFonts w:ascii="Arial" w:hAnsi="Arial" w:cs="Arial"/>
          <w:sz w:val="22"/>
          <w:szCs w:val="22"/>
        </w:rPr>
        <w:t>was</w:t>
      </w:r>
      <w:r w:rsidRPr="008B544C">
        <w:rPr>
          <w:rFonts w:ascii="Arial" w:hAnsi="Arial" w:cs="Arial"/>
          <w:sz w:val="22"/>
          <w:szCs w:val="22"/>
        </w:rPr>
        <w:t xml:space="preserve"> </w:t>
      </w:r>
      <w:r w:rsidR="005471F6" w:rsidRPr="008B544C">
        <w:rPr>
          <w:rFonts w:ascii="Arial" w:hAnsi="Arial" w:cs="Arial"/>
          <w:sz w:val="22"/>
          <w:szCs w:val="22"/>
        </w:rPr>
        <w:t>ye</w:t>
      </w:r>
      <w:r w:rsidR="003C21B8" w:rsidRPr="008B544C">
        <w:rPr>
          <w:rFonts w:ascii="Arial" w:hAnsi="Arial" w:cs="Arial"/>
          <w:sz w:val="22"/>
          <w:szCs w:val="22"/>
        </w:rPr>
        <w:t xml:space="preserve">t to </w:t>
      </w:r>
      <w:r w:rsidR="00820B06" w:rsidRPr="008B544C">
        <w:rPr>
          <w:rFonts w:ascii="Arial" w:hAnsi="Arial" w:cs="Arial"/>
          <w:sz w:val="22"/>
          <w:szCs w:val="22"/>
        </w:rPr>
        <w:t>c</w:t>
      </w:r>
      <w:r w:rsidR="003C21B8" w:rsidRPr="008B544C">
        <w:rPr>
          <w:rFonts w:ascii="Arial" w:hAnsi="Arial" w:cs="Arial"/>
          <w:sz w:val="22"/>
          <w:szCs w:val="22"/>
        </w:rPr>
        <w:t>ritique scholarly publications</w:t>
      </w:r>
      <w:r w:rsidRPr="008B544C">
        <w:rPr>
          <w:rFonts w:ascii="Arial" w:hAnsi="Arial" w:cs="Arial"/>
          <w:sz w:val="22"/>
          <w:szCs w:val="22"/>
        </w:rPr>
        <w:t xml:space="preserve">, </w:t>
      </w:r>
      <w:r w:rsidR="009009D0" w:rsidRPr="008B544C">
        <w:rPr>
          <w:rFonts w:ascii="Arial" w:hAnsi="Arial" w:cs="Arial"/>
          <w:sz w:val="22"/>
          <w:szCs w:val="22"/>
        </w:rPr>
        <w:t xml:space="preserve">The unfamiliar topic led to a series of inquiries with the </w:t>
      </w:r>
      <w:r w:rsidR="00787437" w:rsidRPr="008B544C">
        <w:rPr>
          <w:rFonts w:ascii="Arial" w:hAnsi="Arial" w:cs="Arial"/>
          <w:sz w:val="22"/>
          <w:szCs w:val="22"/>
        </w:rPr>
        <w:t>lectuerer.</w:t>
      </w:r>
    </w:p>
    <w:p w14:paraId="003C59A7" w14:textId="1F884A35" w:rsidR="00926A21" w:rsidRPr="008B544C" w:rsidRDefault="00926A21" w:rsidP="00152F7D">
      <w:pPr>
        <w:numPr>
          <w:ilvl w:val="0"/>
          <w:numId w:val="47"/>
        </w:numPr>
        <w:rPr>
          <w:rFonts w:ascii="Arial" w:hAnsi="Arial" w:cs="Arial"/>
          <w:sz w:val="22"/>
          <w:szCs w:val="22"/>
        </w:rPr>
      </w:pPr>
      <w:r w:rsidRPr="008B544C">
        <w:rPr>
          <w:rFonts w:ascii="Arial" w:hAnsi="Arial" w:cs="Arial"/>
          <w:b/>
          <w:bCs/>
          <w:sz w:val="22"/>
          <w:szCs w:val="22"/>
        </w:rPr>
        <w:t>Generalization:</w:t>
      </w:r>
      <w:r w:rsidRPr="008B544C">
        <w:rPr>
          <w:rFonts w:ascii="Arial" w:hAnsi="Arial" w:cs="Arial"/>
          <w:sz w:val="22"/>
          <w:szCs w:val="22"/>
        </w:rPr>
        <w:t xml:space="preserve"> What did you learn?</w:t>
      </w:r>
      <w:r w:rsidR="00772BE2" w:rsidRPr="008B544C">
        <w:rPr>
          <w:rFonts w:ascii="Arial" w:hAnsi="Arial" w:cs="Arial"/>
          <w:sz w:val="22"/>
          <w:szCs w:val="22"/>
        </w:rPr>
        <w:t xml:space="preserve"> Summarize the essential knowledge you acquire</w:t>
      </w:r>
      <w:r w:rsidRPr="008B544C">
        <w:rPr>
          <w:rFonts w:ascii="Arial" w:hAnsi="Arial" w:cs="Arial"/>
          <w:sz w:val="22"/>
          <w:szCs w:val="22"/>
        </w:rPr>
        <w:t xml:space="preserve"> (takeaways)?</w:t>
      </w:r>
    </w:p>
    <w:p w14:paraId="22554526" w14:textId="77777777" w:rsidR="00260020" w:rsidRPr="008B544C" w:rsidRDefault="00260020" w:rsidP="00DC4497">
      <w:pPr>
        <w:numPr>
          <w:ilvl w:val="0"/>
          <w:numId w:val="48"/>
        </w:numPr>
        <w:rPr>
          <w:rFonts w:ascii="Arial" w:hAnsi="Arial" w:cs="Arial"/>
          <w:sz w:val="22"/>
          <w:szCs w:val="22"/>
        </w:rPr>
      </w:pPr>
      <w:r w:rsidRPr="008B544C">
        <w:rPr>
          <w:rFonts w:ascii="Arial" w:hAnsi="Arial" w:cs="Arial"/>
          <w:sz w:val="22"/>
          <w:szCs w:val="22"/>
        </w:rPr>
        <w:t>My ability to assess the validity of academic sources was enhanced</w:t>
      </w:r>
    </w:p>
    <w:p w14:paraId="34D037BF" w14:textId="1B611EEE" w:rsidR="00926A21" w:rsidRPr="008B544C" w:rsidRDefault="0021280B" w:rsidP="00DC4497">
      <w:pPr>
        <w:numPr>
          <w:ilvl w:val="0"/>
          <w:numId w:val="48"/>
        </w:numPr>
        <w:rPr>
          <w:rFonts w:ascii="Arial" w:hAnsi="Arial" w:cs="Arial"/>
          <w:sz w:val="22"/>
          <w:szCs w:val="22"/>
        </w:rPr>
      </w:pPr>
      <w:r w:rsidRPr="008B544C">
        <w:rPr>
          <w:rFonts w:ascii="Arial" w:hAnsi="Arial" w:cs="Arial"/>
          <w:sz w:val="22"/>
          <w:szCs w:val="22"/>
        </w:rPr>
        <w:t>My knowledge of financial control and performance management became more sophisticated</w:t>
      </w:r>
    </w:p>
    <w:p w14:paraId="32F768C3" w14:textId="77777777" w:rsidR="00926A21" w:rsidRPr="008B544C" w:rsidRDefault="00926A21" w:rsidP="00926A21">
      <w:pPr>
        <w:rPr>
          <w:rFonts w:ascii="Arial" w:hAnsi="Arial" w:cs="Arial"/>
          <w:sz w:val="22"/>
          <w:szCs w:val="22"/>
        </w:rPr>
      </w:pPr>
      <w:r w:rsidRPr="008B544C">
        <w:rPr>
          <w:rFonts w:ascii="Arial" w:hAnsi="Arial" w:cs="Arial"/>
          <w:b/>
          <w:bCs/>
          <w:sz w:val="22"/>
          <w:szCs w:val="22"/>
        </w:rPr>
        <w:t>Action:</w:t>
      </w:r>
      <w:r w:rsidRPr="008B544C">
        <w:rPr>
          <w:rFonts w:ascii="Arial" w:hAnsi="Arial" w:cs="Arial"/>
          <w:sz w:val="22"/>
          <w:szCs w:val="22"/>
        </w:rPr>
        <w:t xml:space="preserve"> How will this affect your work? How will you apply your learning to the assignment?</w:t>
      </w:r>
    </w:p>
    <w:p w14:paraId="587ADA87" w14:textId="77777777" w:rsidR="00926A21" w:rsidRPr="008B544C" w:rsidRDefault="00926A21" w:rsidP="00DC4497">
      <w:pPr>
        <w:numPr>
          <w:ilvl w:val="0"/>
          <w:numId w:val="49"/>
        </w:numPr>
        <w:rPr>
          <w:rFonts w:ascii="Arial" w:hAnsi="Arial" w:cs="Arial"/>
          <w:sz w:val="22"/>
          <w:szCs w:val="22"/>
        </w:rPr>
      </w:pPr>
      <w:r w:rsidRPr="008B544C">
        <w:rPr>
          <w:rFonts w:ascii="Arial" w:hAnsi="Arial" w:cs="Arial"/>
          <w:sz w:val="22"/>
          <w:szCs w:val="22"/>
        </w:rPr>
        <w:t>The knowledge I gained from the lecture helped me begin writing strong research papers that I aim to publish.</w:t>
      </w:r>
    </w:p>
    <w:p w14:paraId="7C1E5723" w14:textId="565D5D25" w:rsidR="00926A21" w:rsidRPr="008B544C" w:rsidRDefault="00F07193" w:rsidP="00DC4497">
      <w:pPr>
        <w:numPr>
          <w:ilvl w:val="0"/>
          <w:numId w:val="49"/>
        </w:numPr>
        <w:rPr>
          <w:rFonts w:ascii="Arial" w:hAnsi="Arial" w:cs="Arial"/>
          <w:sz w:val="22"/>
          <w:szCs w:val="22"/>
        </w:rPr>
      </w:pPr>
      <w:r w:rsidRPr="008B544C">
        <w:rPr>
          <w:rFonts w:ascii="Arial" w:hAnsi="Arial" w:cs="Arial"/>
          <w:sz w:val="22"/>
          <w:szCs w:val="22"/>
        </w:rPr>
        <w:t>My expertise benefited fellow students, who received guidance on research.</w:t>
      </w:r>
    </w:p>
    <w:p w14:paraId="5E543F76" w14:textId="77777777" w:rsidR="00DC4497" w:rsidRPr="008B544C" w:rsidRDefault="00DC4497" w:rsidP="00DC4497">
      <w:pPr>
        <w:rPr>
          <w:rFonts w:ascii="Arial" w:hAnsi="Arial" w:cs="Arial"/>
          <w:sz w:val="22"/>
          <w:szCs w:val="22"/>
        </w:rPr>
      </w:pPr>
    </w:p>
    <w:p w14:paraId="4439CC58" w14:textId="77777777" w:rsidR="00DC4497" w:rsidRPr="008B544C" w:rsidRDefault="00DC4497" w:rsidP="00DC4497">
      <w:pPr>
        <w:rPr>
          <w:rFonts w:ascii="Arial" w:hAnsi="Arial" w:cs="Arial"/>
          <w:sz w:val="22"/>
          <w:szCs w:val="22"/>
        </w:rPr>
      </w:pPr>
    </w:p>
    <w:p w14:paraId="420E26B5" w14:textId="77777777" w:rsidR="00DC4497" w:rsidRPr="008B544C" w:rsidRDefault="00DC4497" w:rsidP="00DC4497">
      <w:pPr>
        <w:rPr>
          <w:rFonts w:ascii="Arial" w:hAnsi="Arial" w:cs="Arial"/>
          <w:sz w:val="22"/>
          <w:szCs w:val="22"/>
        </w:rPr>
      </w:pPr>
    </w:p>
    <w:p w14:paraId="10EB6258" w14:textId="77777777" w:rsidR="00DC4497" w:rsidRPr="008B544C" w:rsidRDefault="00DC4497" w:rsidP="00DC4497">
      <w:pPr>
        <w:rPr>
          <w:rFonts w:ascii="Arial" w:hAnsi="Arial" w:cs="Arial"/>
          <w:sz w:val="22"/>
          <w:szCs w:val="22"/>
        </w:rPr>
      </w:pPr>
    </w:p>
    <w:p w14:paraId="77A6A400" w14:textId="77777777" w:rsidR="00DC4497" w:rsidRPr="008B544C" w:rsidRDefault="00DC4497" w:rsidP="00DC4497">
      <w:pPr>
        <w:rPr>
          <w:rFonts w:ascii="Arial" w:hAnsi="Arial" w:cs="Arial"/>
          <w:sz w:val="22"/>
          <w:szCs w:val="22"/>
        </w:rPr>
      </w:pPr>
    </w:p>
    <w:p w14:paraId="2F067FAD" w14:textId="77777777" w:rsidR="00DC4497" w:rsidRPr="008B544C" w:rsidRDefault="00DC4497" w:rsidP="00DC4497">
      <w:pPr>
        <w:rPr>
          <w:rFonts w:ascii="Arial" w:hAnsi="Arial" w:cs="Arial"/>
          <w:sz w:val="22"/>
          <w:szCs w:val="22"/>
        </w:rPr>
      </w:pPr>
    </w:p>
    <w:p w14:paraId="3235F9D8" w14:textId="77777777" w:rsidR="00DC4497" w:rsidRPr="008B544C" w:rsidRDefault="00DC4497" w:rsidP="00DC4497">
      <w:pPr>
        <w:rPr>
          <w:rFonts w:ascii="Arial" w:hAnsi="Arial" w:cs="Arial"/>
          <w:sz w:val="22"/>
          <w:szCs w:val="22"/>
        </w:rPr>
      </w:pPr>
    </w:p>
    <w:p w14:paraId="3B2B76F8" w14:textId="77777777" w:rsidR="00DC4497" w:rsidRPr="008B544C" w:rsidRDefault="00DC4497" w:rsidP="00DC4497">
      <w:pPr>
        <w:rPr>
          <w:rFonts w:ascii="Arial" w:hAnsi="Arial" w:cs="Arial"/>
          <w:sz w:val="22"/>
          <w:szCs w:val="22"/>
        </w:rPr>
      </w:pPr>
    </w:p>
    <w:p w14:paraId="7DA10447" w14:textId="77777777" w:rsidR="00DC4497" w:rsidRPr="008B544C" w:rsidRDefault="00DC4497" w:rsidP="00DC4497">
      <w:pPr>
        <w:rPr>
          <w:rFonts w:ascii="Arial" w:hAnsi="Arial" w:cs="Arial"/>
          <w:sz w:val="22"/>
          <w:szCs w:val="22"/>
        </w:rPr>
      </w:pPr>
    </w:p>
    <w:p w14:paraId="7424C5C3" w14:textId="77777777" w:rsidR="00DC4497" w:rsidRPr="008B544C" w:rsidRDefault="00DC4497" w:rsidP="00DC4497">
      <w:pPr>
        <w:rPr>
          <w:rFonts w:ascii="Arial" w:hAnsi="Arial" w:cs="Arial"/>
          <w:sz w:val="22"/>
          <w:szCs w:val="22"/>
        </w:rPr>
      </w:pPr>
    </w:p>
    <w:p w14:paraId="402DC0E0" w14:textId="77777777" w:rsidR="000517F6" w:rsidRPr="008B544C" w:rsidRDefault="000517F6" w:rsidP="00DC4497">
      <w:pPr>
        <w:spacing w:line="360" w:lineRule="auto"/>
        <w:rPr>
          <w:rFonts w:ascii="Arial" w:hAnsi="Arial" w:cs="Arial"/>
          <w:sz w:val="22"/>
          <w:szCs w:val="22"/>
        </w:rPr>
      </w:pPr>
    </w:p>
    <w:p w14:paraId="469CEFE4" w14:textId="77777777" w:rsidR="000517F6" w:rsidRPr="008B544C" w:rsidRDefault="000517F6" w:rsidP="00DC4497">
      <w:pPr>
        <w:spacing w:line="360" w:lineRule="auto"/>
        <w:rPr>
          <w:rFonts w:ascii="Arial" w:hAnsi="Arial" w:cs="Arial"/>
          <w:sz w:val="22"/>
          <w:szCs w:val="22"/>
        </w:rPr>
      </w:pPr>
    </w:p>
    <w:p w14:paraId="122A8791" w14:textId="77777777" w:rsidR="000517F6" w:rsidRPr="008B544C" w:rsidRDefault="000517F6" w:rsidP="00DC4497">
      <w:pPr>
        <w:spacing w:line="360" w:lineRule="auto"/>
        <w:rPr>
          <w:rFonts w:ascii="Arial" w:hAnsi="Arial" w:cs="Arial"/>
          <w:sz w:val="22"/>
          <w:szCs w:val="22"/>
        </w:rPr>
      </w:pPr>
    </w:p>
    <w:p w14:paraId="76422FF7" w14:textId="77777777" w:rsidR="000517F6" w:rsidRPr="008B544C" w:rsidRDefault="000517F6" w:rsidP="00DC4497">
      <w:pPr>
        <w:spacing w:line="360" w:lineRule="auto"/>
        <w:rPr>
          <w:rFonts w:ascii="Arial" w:hAnsi="Arial" w:cs="Arial"/>
          <w:sz w:val="22"/>
          <w:szCs w:val="22"/>
        </w:rPr>
      </w:pPr>
    </w:p>
    <w:p w14:paraId="0BDBAEB1" w14:textId="049F81C6" w:rsidR="00DC4497" w:rsidRPr="008B544C" w:rsidRDefault="00DC4497" w:rsidP="00DC4497">
      <w:pPr>
        <w:spacing w:line="360" w:lineRule="auto"/>
        <w:rPr>
          <w:rFonts w:ascii="Arial" w:hAnsi="Arial" w:cs="Arial"/>
          <w:sz w:val="22"/>
          <w:szCs w:val="22"/>
        </w:rPr>
      </w:pPr>
      <w:r w:rsidRPr="008B544C">
        <w:rPr>
          <w:rFonts w:ascii="Arial" w:hAnsi="Arial" w:cs="Arial"/>
          <w:sz w:val="22"/>
          <w:szCs w:val="22"/>
        </w:rPr>
        <w:t xml:space="preserve">Name: Konwea Dumebi Ogechukwu        </w:t>
      </w:r>
    </w:p>
    <w:p w14:paraId="7013429C" w14:textId="05C96BE2" w:rsidR="00DC4497" w:rsidRPr="008B544C" w:rsidRDefault="00DC4497" w:rsidP="00DC4497">
      <w:pPr>
        <w:spacing w:line="360" w:lineRule="auto"/>
        <w:rPr>
          <w:rFonts w:ascii="Arial" w:hAnsi="Arial" w:cs="Arial"/>
          <w:sz w:val="22"/>
          <w:szCs w:val="22"/>
        </w:rPr>
      </w:pPr>
      <w:r w:rsidRPr="008B544C">
        <w:rPr>
          <w:rFonts w:ascii="Arial" w:hAnsi="Arial" w:cs="Arial"/>
          <w:sz w:val="22"/>
          <w:szCs w:val="22"/>
        </w:rPr>
        <w:t xml:space="preserve"> Session: Week 8         </w:t>
      </w:r>
    </w:p>
    <w:p w14:paraId="2DEF4CA4" w14:textId="77777777" w:rsidR="00DC4497" w:rsidRPr="008B544C" w:rsidRDefault="00DC4497" w:rsidP="00DC4497">
      <w:pPr>
        <w:spacing w:line="360" w:lineRule="auto"/>
        <w:rPr>
          <w:rFonts w:ascii="Arial" w:hAnsi="Arial" w:cs="Arial"/>
          <w:sz w:val="22"/>
          <w:szCs w:val="22"/>
        </w:rPr>
      </w:pPr>
    </w:p>
    <w:p w14:paraId="505BEDB1" w14:textId="77777777" w:rsidR="00DC4497" w:rsidRPr="008B544C" w:rsidRDefault="00DC4497" w:rsidP="00DC4497">
      <w:pPr>
        <w:pStyle w:val="Heading3"/>
        <w:spacing w:before="0" w:line="360" w:lineRule="auto"/>
        <w:rPr>
          <w:rFonts w:ascii="Arial" w:hAnsi="Arial" w:cs="Arial"/>
          <w:color w:val="auto"/>
          <w:sz w:val="22"/>
          <w:szCs w:val="22"/>
        </w:rPr>
      </w:pPr>
      <w:r w:rsidRPr="008B544C">
        <w:rPr>
          <w:rFonts w:ascii="Arial" w:hAnsi="Arial" w:cs="Arial"/>
          <w:b/>
          <w:color w:val="auto"/>
          <w:sz w:val="22"/>
          <w:szCs w:val="22"/>
        </w:rPr>
        <w:t>Experience:</w:t>
      </w:r>
      <w:r w:rsidRPr="008B544C">
        <w:rPr>
          <w:rFonts w:ascii="Arial" w:hAnsi="Arial" w:cs="Arial"/>
          <w:color w:val="auto"/>
          <w:sz w:val="22"/>
          <w:szCs w:val="22"/>
        </w:rPr>
        <w:t xml:space="preserve"> What happened? What did you discover (topics covered)?</w:t>
      </w:r>
    </w:p>
    <w:p w14:paraId="71BA8F64" w14:textId="53F98590" w:rsidR="00DC4497" w:rsidRPr="008B544C" w:rsidRDefault="00F03E1C" w:rsidP="00DC4497">
      <w:pPr>
        <w:pStyle w:val="ListParagraph"/>
        <w:numPr>
          <w:ilvl w:val="0"/>
          <w:numId w:val="50"/>
        </w:numPr>
        <w:spacing w:line="259" w:lineRule="auto"/>
        <w:rPr>
          <w:rFonts w:ascii="Arial" w:hAnsi="Arial" w:cs="Arial"/>
          <w:sz w:val="22"/>
          <w:szCs w:val="22"/>
          <w:lang w:val="en-US" w:eastAsia="en-GB"/>
        </w:rPr>
      </w:pPr>
      <w:r w:rsidRPr="008B544C">
        <w:rPr>
          <w:rFonts w:ascii="Arial" w:hAnsi="Arial" w:cs="Arial"/>
          <w:sz w:val="22"/>
          <w:szCs w:val="22"/>
          <w:lang w:val="en-US" w:eastAsia="en-GB"/>
        </w:rPr>
        <w:t>Persistent examination of academic literature</w:t>
      </w:r>
    </w:p>
    <w:p w14:paraId="1D1BE558" w14:textId="1DC7027F" w:rsidR="00DC4497" w:rsidRPr="008B544C" w:rsidRDefault="00FA329E" w:rsidP="00DC4497">
      <w:pPr>
        <w:pStyle w:val="ListParagraph"/>
        <w:numPr>
          <w:ilvl w:val="0"/>
          <w:numId w:val="50"/>
        </w:numPr>
        <w:spacing w:line="259" w:lineRule="auto"/>
        <w:rPr>
          <w:rFonts w:ascii="Arial" w:hAnsi="Arial" w:cs="Arial"/>
          <w:sz w:val="22"/>
          <w:szCs w:val="22"/>
          <w:lang w:val="en-US" w:eastAsia="en-GB"/>
        </w:rPr>
      </w:pPr>
      <w:r w:rsidRPr="008B544C">
        <w:rPr>
          <w:rFonts w:ascii="Arial" w:hAnsi="Arial" w:cs="Arial"/>
          <w:sz w:val="22"/>
          <w:szCs w:val="22"/>
          <w:lang w:val="en-US" w:eastAsia="en-GB"/>
        </w:rPr>
        <w:t>Support for comprehensive assessment preparation</w:t>
      </w:r>
    </w:p>
    <w:p w14:paraId="523A17BE" w14:textId="77777777" w:rsidR="00DC4497" w:rsidRPr="008B544C" w:rsidRDefault="00DC4497" w:rsidP="00DC4497">
      <w:pPr>
        <w:rPr>
          <w:rFonts w:ascii="Arial" w:hAnsi="Arial" w:cs="Arial"/>
          <w:sz w:val="22"/>
          <w:szCs w:val="22"/>
          <w:lang w:val="en-US" w:eastAsia="en-GB"/>
        </w:rPr>
      </w:pPr>
    </w:p>
    <w:p w14:paraId="19ADA566" w14:textId="77777777" w:rsidR="00DC4497" w:rsidRPr="008B544C" w:rsidRDefault="00DC4497" w:rsidP="00DC4497">
      <w:pPr>
        <w:pStyle w:val="Heading3"/>
        <w:spacing w:before="0" w:line="360" w:lineRule="auto"/>
        <w:rPr>
          <w:rFonts w:ascii="Arial" w:hAnsi="Arial" w:cs="Arial"/>
          <w:color w:val="auto"/>
          <w:sz w:val="22"/>
          <w:szCs w:val="22"/>
        </w:rPr>
      </w:pPr>
      <w:r w:rsidRPr="008B544C">
        <w:rPr>
          <w:rFonts w:ascii="Arial" w:hAnsi="Arial" w:cs="Arial"/>
          <w:b/>
          <w:color w:val="auto"/>
          <w:sz w:val="22"/>
          <w:szCs w:val="22"/>
        </w:rPr>
        <w:t xml:space="preserve">Reflection: </w:t>
      </w:r>
      <w:r w:rsidRPr="008B544C">
        <w:rPr>
          <w:rFonts w:ascii="Arial" w:hAnsi="Arial" w:cs="Arial"/>
          <w:color w:val="auto"/>
          <w:sz w:val="22"/>
          <w:szCs w:val="22"/>
        </w:rPr>
        <w:t>What are your thoughts on your experience? What did you find useful?</w:t>
      </w:r>
    </w:p>
    <w:p w14:paraId="35AEF792" w14:textId="35B88AEE" w:rsidR="00DC4497" w:rsidRPr="008B544C" w:rsidRDefault="00786CA6" w:rsidP="00DC4497">
      <w:pPr>
        <w:pStyle w:val="ListParagraph"/>
        <w:numPr>
          <w:ilvl w:val="0"/>
          <w:numId w:val="51"/>
        </w:numPr>
        <w:spacing w:after="0" w:line="360" w:lineRule="auto"/>
        <w:rPr>
          <w:rFonts w:ascii="Arial" w:hAnsi="Arial" w:cs="Arial"/>
          <w:sz w:val="22"/>
          <w:szCs w:val="22"/>
        </w:rPr>
      </w:pPr>
      <w:r w:rsidRPr="008B544C">
        <w:rPr>
          <w:rFonts w:ascii="Arial" w:hAnsi="Arial" w:cs="Arial"/>
          <w:sz w:val="22"/>
          <w:szCs w:val="22"/>
        </w:rPr>
        <w:t>A structured approach to summative assessment brief development was presented.</w:t>
      </w:r>
    </w:p>
    <w:p w14:paraId="145C7AC0" w14:textId="20DE8ACA" w:rsidR="00DC4497" w:rsidRPr="008B544C" w:rsidRDefault="0023612D" w:rsidP="00DC4497">
      <w:pPr>
        <w:pStyle w:val="ListParagraph"/>
        <w:numPr>
          <w:ilvl w:val="0"/>
          <w:numId w:val="51"/>
        </w:numPr>
        <w:spacing w:after="0" w:line="360" w:lineRule="auto"/>
        <w:rPr>
          <w:rFonts w:ascii="Arial" w:hAnsi="Arial" w:cs="Arial"/>
          <w:sz w:val="22"/>
          <w:szCs w:val="22"/>
        </w:rPr>
      </w:pPr>
      <w:r w:rsidRPr="008B544C">
        <w:rPr>
          <w:rFonts w:ascii="Arial" w:hAnsi="Arial" w:cs="Arial"/>
          <w:sz w:val="22"/>
          <w:szCs w:val="22"/>
        </w:rPr>
        <w:t>Every question about the summative assessment received a thorough and detailed answer</w:t>
      </w:r>
    </w:p>
    <w:p w14:paraId="3ADDE201" w14:textId="77777777" w:rsidR="00DC4497" w:rsidRPr="008B544C" w:rsidRDefault="00DC4497" w:rsidP="00DC4497">
      <w:pPr>
        <w:spacing w:after="0" w:line="360" w:lineRule="auto"/>
        <w:rPr>
          <w:rFonts w:ascii="Arial" w:hAnsi="Arial" w:cs="Arial"/>
          <w:sz w:val="22"/>
          <w:szCs w:val="22"/>
        </w:rPr>
      </w:pPr>
    </w:p>
    <w:p w14:paraId="6D341A6D" w14:textId="77777777" w:rsidR="00DC4497" w:rsidRPr="008B544C" w:rsidRDefault="00DC4497" w:rsidP="00DC4497">
      <w:pPr>
        <w:pStyle w:val="Heading3"/>
        <w:spacing w:before="0" w:line="360" w:lineRule="auto"/>
        <w:rPr>
          <w:rFonts w:ascii="Arial" w:hAnsi="Arial" w:cs="Arial"/>
          <w:color w:val="auto"/>
          <w:sz w:val="22"/>
          <w:szCs w:val="22"/>
        </w:rPr>
      </w:pPr>
      <w:r w:rsidRPr="008B544C">
        <w:rPr>
          <w:rFonts w:ascii="Arial" w:hAnsi="Arial" w:cs="Arial"/>
          <w:b/>
          <w:color w:val="auto"/>
          <w:sz w:val="22"/>
          <w:szCs w:val="22"/>
        </w:rPr>
        <w:t xml:space="preserve">Generalization: </w:t>
      </w:r>
      <w:r w:rsidRPr="008B544C">
        <w:rPr>
          <w:rFonts w:ascii="Arial" w:hAnsi="Arial" w:cs="Arial"/>
          <w:color w:val="auto"/>
          <w:sz w:val="22"/>
          <w:szCs w:val="22"/>
        </w:rPr>
        <w:t>What did you learn? Capture your key learning points (take-aways)?</w:t>
      </w:r>
    </w:p>
    <w:p w14:paraId="02E6AE2E" w14:textId="71BA8853" w:rsidR="00DC4497" w:rsidRPr="008B544C" w:rsidRDefault="000C744E" w:rsidP="00DC4497">
      <w:pPr>
        <w:pStyle w:val="ListParagraph"/>
        <w:numPr>
          <w:ilvl w:val="0"/>
          <w:numId w:val="52"/>
        </w:numPr>
        <w:spacing w:after="0" w:line="360" w:lineRule="auto"/>
        <w:rPr>
          <w:rFonts w:ascii="Arial" w:hAnsi="Arial" w:cs="Arial"/>
          <w:sz w:val="22"/>
          <w:szCs w:val="22"/>
        </w:rPr>
      </w:pPr>
      <w:r w:rsidRPr="008B544C">
        <w:rPr>
          <w:rFonts w:ascii="Arial" w:hAnsi="Arial" w:cs="Arial"/>
          <w:sz w:val="22"/>
          <w:szCs w:val="22"/>
        </w:rPr>
        <w:t>New approaches to summative assessment creation were introduced to me.</w:t>
      </w:r>
      <w:r w:rsidR="00DC4497" w:rsidRPr="008B544C">
        <w:rPr>
          <w:rFonts w:ascii="Arial" w:hAnsi="Arial" w:cs="Arial"/>
          <w:sz w:val="22"/>
          <w:szCs w:val="22"/>
        </w:rPr>
        <w:t xml:space="preserve"> </w:t>
      </w:r>
    </w:p>
    <w:p w14:paraId="66B4C172" w14:textId="3DDAD5C0" w:rsidR="00DC4497" w:rsidRPr="008B544C" w:rsidRDefault="003A6C05" w:rsidP="00DC4497">
      <w:pPr>
        <w:pStyle w:val="ListParagraph"/>
        <w:numPr>
          <w:ilvl w:val="0"/>
          <w:numId w:val="52"/>
        </w:numPr>
        <w:spacing w:after="0" w:line="360" w:lineRule="auto"/>
        <w:rPr>
          <w:rFonts w:ascii="Arial" w:hAnsi="Arial" w:cs="Arial"/>
          <w:sz w:val="22"/>
          <w:szCs w:val="22"/>
        </w:rPr>
      </w:pPr>
      <w:r w:rsidRPr="008B544C">
        <w:rPr>
          <w:rFonts w:ascii="Arial" w:hAnsi="Arial" w:cs="Arial"/>
          <w:sz w:val="22"/>
          <w:szCs w:val="22"/>
        </w:rPr>
        <w:t>My expertise in evaluating research papers was further strengthened</w:t>
      </w:r>
    </w:p>
    <w:p w14:paraId="3F6E2F19" w14:textId="77777777" w:rsidR="00DC4497" w:rsidRPr="008B544C" w:rsidRDefault="00DC4497" w:rsidP="00DC4497">
      <w:pPr>
        <w:spacing w:after="0" w:line="360" w:lineRule="auto"/>
        <w:rPr>
          <w:rFonts w:ascii="Arial" w:hAnsi="Arial" w:cs="Arial"/>
          <w:sz w:val="22"/>
          <w:szCs w:val="22"/>
        </w:rPr>
      </w:pPr>
    </w:p>
    <w:p w14:paraId="0111A628" w14:textId="77777777" w:rsidR="00DC4497" w:rsidRPr="008B544C" w:rsidRDefault="00DC4497" w:rsidP="00DC4497">
      <w:pPr>
        <w:pStyle w:val="Heading3"/>
        <w:spacing w:before="0" w:line="360" w:lineRule="auto"/>
        <w:rPr>
          <w:rFonts w:ascii="Arial" w:hAnsi="Arial" w:cs="Arial"/>
          <w:color w:val="auto"/>
          <w:sz w:val="22"/>
          <w:szCs w:val="22"/>
        </w:rPr>
      </w:pPr>
      <w:r w:rsidRPr="008B544C">
        <w:rPr>
          <w:rFonts w:ascii="Arial" w:hAnsi="Arial" w:cs="Arial"/>
          <w:b/>
          <w:color w:val="auto"/>
          <w:sz w:val="22"/>
          <w:szCs w:val="22"/>
        </w:rPr>
        <w:t xml:space="preserve">Action: </w:t>
      </w:r>
      <w:r w:rsidRPr="008B544C">
        <w:rPr>
          <w:rFonts w:ascii="Arial" w:hAnsi="Arial" w:cs="Arial"/>
          <w:color w:val="auto"/>
          <w:sz w:val="22"/>
          <w:szCs w:val="22"/>
        </w:rPr>
        <w:t>How will this affect your work? How will you apply your learning to the assignment?</w:t>
      </w:r>
    </w:p>
    <w:p w14:paraId="1D1FF85E" w14:textId="02D92468" w:rsidR="00DC4497" w:rsidRPr="008B544C" w:rsidRDefault="000A6F7B" w:rsidP="00DC4497">
      <w:pPr>
        <w:pStyle w:val="ListParagraph"/>
        <w:numPr>
          <w:ilvl w:val="0"/>
          <w:numId w:val="53"/>
        </w:numPr>
        <w:spacing w:after="0" w:line="360" w:lineRule="auto"/>
        <w:rPr>
          <w:rFonts w:ascii="Arial" w:hAnsi="Arial" w:cs="Arial"/>
          <w:sz w:val="22"/>
          <w:szCs w:val="22"/>
        </w:rPr>
      </w:pPr>
      <w:r w:rsidRPr="008B544C">
        <w:rPr>
          <w:rFonts w:ascii="Arial" w:hAnsi="Arial" w:cs="Arial"/>
          <w:sz w:val="22"/>
          <w:szCs w:val="22"/>
        </w:rPr>
        <w:t>With lecture guidance, I finalized and submitted a polished summative assessment brief</w:t>
      </w:r>
    </w:p>
    <w:p w14:paraId="462625DE" w14:textId="77777777" w:rsidR="005B051B" w:rsidRPr="008B544C" w:rsidRDefault="005B051B" w:rsidP="005B051B">
      <w:pPr>
        <w:spacing w:after="0" w:line="360" w:lineRule="auto"/>
        <w:rPr>
          <w:rFonts w:ascii="Arial" w:hAnsi="Arial" w:cs="Arial"/>
          <w:sz w:val="22"/>
          <w:szCs w:val="22"/>
        </w:rPr>
      </w:pPr>
    </w:p>
    <w:p w14:paraId="3905D820" w14:textId="77777777" w:rsidR="005B051B" w:rsidRPr="0092474F" w:rsidRDefault="005B051B" w:rsidP="005B051B">
      <w:pPr>
        <w:spacing w:after="0" w:line="360" w:lineRule="auto"/>
        <w:rPr>
          <w:rFonts w:ascii="Arial" w:hAnsi="Arial" w:cs="Arial"/>
          <w:sz w:val="22"/>
          <w:szCs w:val="22"/>
        </w:rPr>
      </w:pPr>
    </w:p>
    <w:p w14:paraId="4D6A6C06" w14:textId="77777777" w:rsidR="005B051B" w:rsidRDefault="005B051B" w:rsidP="005B051B">
      <w:pPr>
        <w:spacing w:after="0" w:line="360" w:lineRule="auto"/>
        <w:rPr>
          <w:rFonts w:ascii="Arial" w:hAnsi="Arial" w:cs="Arial"/>
          <w:sz w:val="22"/>
          <w:szCs w:val="22"/>
        </w:rPr>
      </w:pPr>
    </w:p>
    <w:p w14:paraId="4A25C627" w14:textId="77777777" w:rsidR="00851E13" w:rsidRDefault="00851E13" w:rsidP="005B051B">
      <w:pPr>
        <w:spacing w:after="0" w:line="360" w:lineRule="auto"/>
        <w:rPr>
          <w:rFonts w:ascii="Arial" w:hAnsi="Arial" w:cs="Arial"/>
          <w:sz w:val="22"/>
          <w:szCs w:val="22"/>
        </w:rPr>
      </w:pPr>
    </w:p>
    <w:p w14:paraId="0A65520F" w14:textId="77777777" w:rsidR="00851E13" w:rsidRDefault="00851E13" w:rsidP="005B051B">
      <w:pPr>
        <w:spacing w:after="0" w:line="360" w:lineRule="auto"/>
        <w:rPr>
          <w:rFonts w:ascii="Arial" w:hAnsi="Arial" w:cs="Arial"/>
          <w:sz w:val="22"/>
          <w:szCs w:val="22"/>
        </w:rPr>
      </w:pPr>
    </w:p>
    <w:p w14:paraId="4E734CD1" w14:textId="77777777" w:rsidR="00851E13" w:rsidRDefault="00851E13" w:rsidP="005B051B">
      <w:pPr>
        <w:spacing w:after="0" w:line="360" w:lineRule="auto"/>
        <w:rPr>
          <w:rFonts w:ascii="Arial" w:hAnsi="Arial" w:cs="Arial"/>
          <w:sz w:val="22"/>
          <w:szCs w:val="22"/>
        </w:rPr>
      </w:pPr>
    </w:p>
    <w:p w14:paraId="7798D513" w14:textId="77777777" w:rsidR="00851E13" w:rsidRDefault="00851E13" w:rsidP="005B051B">
      <w:pPr>
        <w:spacing w:after="0" w:line="360" w:lineRule="auto"/>
        <w:rPr>
          <w:rFonts w:ascii="Arial" w:hAnsi="Arial" w:cs="Arial"/>
          <w:sz w:val="22"/>
          <w:szCs w:val="22"/>
        </w:rPr>
      </w:pPr>
    </w:p>
    <w:p w14:paraId="6FEA3F55" w14:textId="77777777" w:rsidR="00851E13" w:rsidRDefault="00851E13" w:rsidP="005B051B">
      <w:pPr>
        <w:spacing w:after="0" w:line="360" w:lineRule="auto"/>
        <w:rPr>
          <w:rFonts w:ascii="Arial" w:hAnsi="Arial" w:cs="Arial"/>
          <w:sz w:val="22"/>
          <w:szCs w:val="22"/>
        </w:rPr>
      </w:pPr>
    </w:p>
    <w:p w14:paraId="11BBA749" w14:textId="77777777" w:rsidR="00851E13" w:rsidRDefault="00851E13" w:rsidP="005B051B">
      <w:pPr>
        <w:spacing w:after="0" w:line="360" w:lineRule="auto"/>
        <w:rPr>
          <w:rFonts w:ascii="Arial" w:hAnsi="Arial" w:cs="Arial"/>
          <w:sz w:val="22"/>
          <w:szCs w:val="22"/>
        </w:rPr>
      </w:pPr>
    </w:p>
    <w:p w14:paraId="03B388CA" w14:textId="77777777" w:rsidR="00851E13" w:rsidRDefault="00851E13" w:rsidP="005B051B">
      <w:pPr>
        <w:spacing w:after="0" w:line="360" w:lineRule="auto"/>
        <w:rPr>
          <w:rFonts w:ascii="Arial" w:hAnsi="Arial" w:cs="Arial"/>
          <w:sz w:val="22"/>
          <w:szCs w:val="22"/>
        </w:rPr>
      </w:pPr>
    </w:p>
    <w:p w14:paraId="442E9E28" w14:textId="77777777" w:rsidR="00851E13" w:rsidRDefault="00851E13" w:rsidP="005B051B">
      <w:pPr>
        <w:spacing w:after="0" w:line="360" w:lineRule="auto"/>
        <w:rPr>
          <w:rFonts w:ascii="Arial" w:hAnsi="Arial" w:cs="Arial"/>
          <w:sz w:val="22"/>
          <w:szCs w:val="22"/>
        </w:rPr>
      </w:pPr>
    </w:p>
    <w:p w14:paraId="12A82FA9" w14:textId="77777777" w:rsidR="00851E13" w:rsidRDefault="00851E13" w:rsidP="005B051B">
      <w:pPr>
        <w:spacing w:after="0" w:line="360" w:lineRule="auto"/>
        <w:rPr>
          <w:rFonts w:ascii="Arial" w:hAnsi="Arial" w:cs="Arial"/>
          <w:sz w:val="22"/>
          <w:szCs w:val="22"/>
        </w:rPr>
      </w:pPr>
    </w:p>
    <w:p w14:paraId="7FF2A28D" w14:textId="77777777" w:rsidR="00851E13" w:rsidRDefault="00851E13" w:rsidP="005B051B">
      <w:pPr>
        <w:spacing w:after="0" w:line="360" w:lineRule="auto"/>
        <w:rPr>
          <w:rFonts w:ascii="Arial" w:hAnsi="Arial" w:cs="Arial"/>
          <w:sz w:val="22"/>
          <w:szCs w:val="22"/>
        </w:rPr>
      </w:pPr>
    </w:p>
    <w:p w14:paraId="792E9CD3" w14:textId="4B9A6781" w:rsidR="00851E13" w:rsidRPr="0092474F" w:rsidRDefault="00851E13" w:rsidP="005B051B">
      <w:pPr>
        <w:spacing w:after="0" w:line="360" w:lineRule="auto"/>
        <w:rPr>
          <w:rFonts w:ascii="Arial" w:hAnsi="Arial" w:cs="Arial"/>
          <w:sz w:val="22"/>
          <w:szCs w:val="22"/>
        </w:rPr>
      </w:pPr>
      <w:r>
        <w:rPr>
          <w:rFonts w:ascii="Arial" w:hAnsi="Arial" w:cs="Arial"/>
          <w:sz w:val="22"/>
          <w:szCs w:val="22"/>
        </w:rPr>
        <w:lastRenderedPageBreak/>
        <w:t>Appendix 2</w:t>
      </w:r>
    </w:p>
    <w:p w14:paraId="667E2D01" w14:textId="0A035C9C" w:rsidR="005B051B" w:rsidRPr="0092474F" w:rsidRDefault="0063728C" w:rsidP="005B051B">
      <w:pPr>
        <w:spacing w:after="0" w:line="360" w:lineRule="auto"/>
        <w:rPr>
          <w:rFonts w:ascii="Arial" w:hAnsi="Arial" w:cs="Arial"/>
          <w:sz w:val="22"/>
          <w:szCs w:val="22"/>
        </w:rPr>
      </w:pPr>
      <w:r w:rsidRPr="0092474F">
        <w:rPr>
          <w:rFonts w:ascii="Arial" w:hAnsi="Arial" w:cs="Arial"/>
          <w:sz w:val="22"/>
          <w:szCs w:val="22"/>
        </w:rPr>
        <w:t>Valuation result using discounted cash flow</w:t>
      </w:r>
    </w:p>
    <w:p w14:paraId="1525775E" w14:textId="77777777" w:rsidR="005B051B" w:rsidRPr="0092474F" w:rsidRDefault="005B051B" w:rsidP="005B051B">
      <w:pPr>
        <w:spacing w:after="0" w:line="360" w:lineRule="auto"/>
        <w:rPr>
          <w:rFonts w:ascii="Arial" w:hAnsi="Arial" w:cs="Arial"/>
          <w:sz w:val="22"/>
          <w:szCs w:val="22"/>
        </w:rPr>
      </w:pPr>
    </w:p>
    <w:p w14:paraId="7DB594DB" w14:textId="7787561E" w:rsidR="005B051B" w:rsidRPr="0092474F" w:rsidRDefault="005B051B" w:rsidP="005B051B">
      <w:pPr>
        <w:spacing w:after="0" w:line="360" w:lineRule="auto"/>
        <w:rPr>
          <w:rFonts w:ascii="Arial" w:hAnsi="Arial" w:cs="Arial"/>
          <w:sz w:val="22"/>
          <w:szCs w:val="22"/>
        </w:rPr>
      </w:pPr>
      <w:r w:rsidRPr="0092474F">
        <w:rPr>
          <w:rFonts w:ascii="Arial" w:hAnsi="Arial" w:cs="Arial"/>
          <w:noProof/>
          <w:sz w:val="22"/>
          <w:szCs w:val="22"/>
        </w:rPr>
        <w:drawing>
          <wp:inline distT="0" distB="0" distL="0" distR="0" wp14:anchorId="1DFFA3B4" wp14:editId="4A9D010C">
            <wp:extent cx="6155690" cy="4946650"/>
            <wp:effectExtent l="0" t="0" r="0" b="6350"/>
            <wp:docPr id="165101368" name="Picture 1" descr="A white sheet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1368" name="Picture 1" descr="A white sheet with colorful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72841" cy="4960432"/>
                    </a:xfrm>
                    <a:prstGeom prst="rect">
                      <a:avLst/>
                    </a:prstGeom>
                  </pic:spPr>
                </pic:pic>
              </a:graphicData>
            </a:graphic>
          </wp:inline>
        </w:drawing>
      </w:r>
    </w:p>
    <w:p w14:paraId="0F55F7E2" w14:textId="77777777" w:rsidR="00DC4497" w:rsidRPr="0092474F" w:rsidRDefault="00DC4497" w:rsidP="00DC4497">
      <w:pPr>
        <w:rPr>
          <w:rFonts w:ascii="Arial" w:hAnsi="Arial" w:cs="Arial"/>
          <w:sz w:val="22"/>
          <w:szCs w:val="22"/>
        </w:rPr>
      </w:pPr>
    </w:p>
    <w:p w14:paraId="1F7EA88E" w14:textId="77777777" w:rsidR="00926A21" w:rsidRPr="0092474F" w:rsidRDefault="00926A21" w:rsidP="00926A21">
      <w:pPr>
        <w:rPr>
          <w:rFonts w:ascii="Arial" w:hAnsi="Arial" w:cs="Arial"/>
          <w:sz w:val="22"/>
          <w:szCs w:val="22"/>
        </w:rPr>
      </w:pPr>
    </w:p>
    <w:p w14:paraId="6D26DBE7" w14:textId="77777777" w:rsidR="00327D31" w:rsidRPr="0092474F" w:rsidRDefault="00327D31" w:rsidP="003761B4">
      <w:pPr>
        <w:rPr>
          <w:rFonts w:ascii="Arial" w:hAnsi="Arial" w:cs="Arial"/>
          <w:sz w:val="22"/>
          <w:szCs w:val="22"/>
        </w:rPr>
      </w:pPr>
    </w:p>
    <w:p w14:paraId="3E2D76D0" w14:textId="77777777" w:rsidR="00CC396B" w:rsidRPr="0092474F" w:rsidRDefault="00CC396B" w:rsidP="003761B4">
      <w:pPr>
        <w:rPr>
          <w:rFonts w:ascii="Arial" w:hAnsi="Arial" w:cs="Arial"/>
          <w:sz w:val="22"/>
          <w:szCs w:val="22"/>
        </w:rPr>
      </w:pPr>
    </w:p>
    <w:p w14:paraId="6DFB3FD9" w14:textId="77777777" w:rsidR="00CC396B" w:rsidRPr="0092474F" w:rsidRDefault="00CC396B" w:rsidP="003761B4">
      <w:pPr>
        <w:rPr>
          <w:rFonts w:ascii="Arial" w:hAnsi="Arial" w:cs="Arial"/>
          <w:sz w:val="22"/>
          <w:szCs w:val="22"/>
        </w:rPr>
      </w:pPr>
    </w:p>
    <w:p w14:paraId="11E11844" w14:textId="77777777" w:rsidR="00CC396B" w:rsidRPr="0092474F" w:rsidRDefault="00CC396B" w:rsidP="003761B4">
      <w:pPr>
        <w:rPr>
          <w:rFonts w:ascii="Arial" w:hAnsi="Arial" w:cs="Arial"/>
          <w:sz w:val="22"/>
          <w:szCs w:val="22"/>
        </w:rPr>
      </w:pPr>
    </w:p>
    <w:p w14:paraId="794E7B44" w14:textId="77777777" w:rsidR="00CC396B" w:rsidRPr="0092474F" w:rsidRDefault="00CC396B" w:rsidP="003761B4">
      <w:pPr>
        <w:rPr>
          <w:rFonts w:ascii="Arial" w:hAnsi="Arial" w:cs="Arial"/>
          <w:sz w:val="22"/>
          <w:szCs w:val="22"/>
        </w:rPr>
      </w:pPr>
    </w:p>
    <w:p w14:paraId="589F73A6" w14:textId="77777777" w:rsidR="00CC396B" w:rsidRPr="0092474F" w:rsidRDefault="00CC396B" w:rsidP="003761B4">
      <w:pPr>
        <w:rPr>
          <w:rFonts w:ascii="Arial" w:hAnsi="Arial" w:cs="Arial"/>
          <w:sz w:val="22"/>
          <w:szCs w:val="22"/>
        </w:rPr>
      </w:pPr>
    </w:p>
    <w:p w14:paraId="2ED6B372" w14:textId="77777777" w:rsidR="00CC396B" w:rsidRPr="0092474F" w:rsidRDefault="00CC396B" w:rsidP="003761B4">
      <w:pPr>
        <w:rPr>
          <w:rFonts w:ascii="Arial" w:hAnsi="Arial" w:cs="Arial"/>
          <w:sz w:val="22"/>
          <w:szCs w:val="22"/>
        </w:rPr>
      </w:pPr>
    </w:p>
    <w:p w14:paraId="3B6C35D2" w14:textId="77777777" w:rsidR="00CC396B" w:rsidRPr="0092474F" w:rsidRDefault="00CC396B" w:rsidP="003761B4">
      <w:pPr>
        <w:rPr>
          <w:rFonts w:ascii="Arial" w:hAnsi="Arial" w:cs="Arial"/>
          <w:sz w:val="22"/>
          <w:szCs w:val="22"/>
        </w:rPr>
      </w:pPr>
    </w:p>
    <w:p w14:paraId="305996D9" w14:textId="77777777" w:rsidR="00273906" w:rsidRPr="0092474F" w:rsidRDefault="00273906" w:rsidP="003761B4">
      <w:pPr>
        <w:rPr>
          <w:rFonts w:ascii="Arial" w:hAnsi="Arial" w:cs="Arial"/>
          <w:noProof/>
          <w:sz w:val="22"/>
          <w:szCs w:val="22"/>
        </w:rPr>
      </w:pPr>
    </w:p>
    <w:p w14:paraId="0FBDD5E2" w14:textId="6290B221" w:rsidR="00194F5D" w:rsidRPr="0092474F" w:rsidRDefault="00851E13" w:rsidP="003761B4">
      <w:pPr>
        <w:rPr>
          <w:rFonts w:ascii="Arial" w:hAnsi="Arial" w:cs="Arial"/>
          <w:noProof/>
          <w:sz w:val="22"/>
          <w:szCs w:val="22"/>
        </w:rPr>
      </w:pPr>
      <w:r>
        <w:rPr>
          <w:rFonts w:ascii="Arial" w:hAnsi="Arial" w:cs="Arial"/>
          <w:noProof/>
          <w:sz w:val="22"/>
          <w:szCs w:val="22"/>
        </w:rPr>
        <w:lastRenderedPageBreak/>
        <w:t>Appendix 3: Travel Revenue Growth Projection</w:t>
      </w:r>
    </w:p>
    <w:p w14:paraId="01D968F4" w14:textId="77777777" w:rsidR="00194F5D" w:rsidRPr="0092474F" w:rsidRDefault="00194F5D" w:rsidP="003761B4">
      <w:pPr>
        <w:rPr>
          <w:rFonts w:ascii="Arial" w:hAnsi="Arial" w:cs="Arial"/>
          <w:noProof/>
          <w:sz w:val="22"/>
          <w:szCs w:val="22"/>
        </w:rPr>
      </w:pPr>
    </w:p>
    <w:p w14:paraId="5A79B1C6" w14:textId="63464B70" w:rsidR="00194F5D" w:rsidRDefault="00194F5D" w:rsidP="003761B4">
      <w:pPr>
        <w:rPr>
          <w:rFonts w:ascii="Arial" w:hAnsi="Arial" w:cs="Arial"/>
          <w:noProof/>
          <w:sz w:val="22"/>
          <w:szCs w:val="22"/>
        </w:rPr>
      </w:pPr>
    </w:p>
    <w:p w14:paraId="287DBE56" w14:textId="757B599B" w:rsidR="00851E13" w:rsidRDefault="00851E13" w:rsidP="003761B4">
      <w:pPr>
        <w:rPr>
          <w:rFonts w:ascii="Arial" w:hAnsi="Arial" w:cs="Arial"/>
          <w:noProof/>
          <w:sz w:val="22"/>
          <w:szCs w:val="22"/>
        </w:rPr>
      </w:pPr>
      <w:r>
        <w:rPr>
          <w:rFonts w:ascii="Arial" w:hAnsi="Arial" w:cs="Arial"/>
          <w:noProof/>
          <w:sz w:val="22"/>
          <w:szCs w:val="22"/>
        </w:rPr>
        <w:drawing>
          <wp:inline distT="0" distB="0" distL="0" distR="0" wp14:anchorId="18298B05" wp14:editId="488AAFEC">
            <wp:extent cx="5731510" cy="4516755"/>
            <wp:effectExtent l="0" t="0" r="2540" b="0"/>
            <wp:docPr id="747216611"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6611" name="Picture 1" descr="A screenshot of a repo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16755"/>
                    </a:xfrm>
                    <a:prstGeom prst="rect">
                      <a:avLst/>
                    </a:prstGeom>
                  </pic:spPr>
                </pic:pic>
              </a:graphicData>
            </a:graphic>
          </wp:inline>
        </w:drawing>
      </w:r>
    </w:p>
    <w:p w14:paraId="0EF3CC06" w14:textId="77777777" w:rsidR="00851E13" w:rsidRDefault="00851E13" w:rsidP="003761B4">
      <w:pPr>
        <w:rPr>
          <w:rFonts w:ascii="Arial" w:hAnsi="Arial" w:cs="Arial"/>
          <w:noProof/>
          <w:sz w:val="22"/>
          <w:szCs w:val="22"/>
        </w:rPr>
      </w:pPr>
    </w:p>
    <w:p w14:paraId="65888089" w14:textId="77777777" w:rsidR="00851E13" w:rsidRDefault="00851E13" w:rsidP="003761B4">
      <w:pPr>
        <w:rPr>
          <w:rFonts w:ascii="Arial" w:hAnsi="Arial" w:cs="Arial"/>
          <w:noProof/>
          <w:sz w:val="22"/>
          <w:szCs w:val="22"/>
        </w:rPr>
      </w:pPr>
    </w:p>
    <w:p w14:paraId="69E988BF" w14:textId="77777777" w:rsidR="00851E13" w:rsidRDefault="00851E13" w:rsidP="003761B4">
      <w:pPr>
        <w:rPr>
          <w:rFonts w:ascii="Arial" w:hAnsi="Arial" w:cs="Arial"/>
          <w:noProof/>
          <w:sz w:val="22"/>
          <w:szCs w:val="22"/>
        </w:rPr>
      </w:pPr>
    </w:p>
    <w:p w14:paraId="2DCE7DFD" w14:textId="77777777" w:rsidR="00851E13" w:rsidRDefault="00851E13" w:rsidP="003761B4">
      <w:pPr>
        <w:rPr>
          <w:rFonts w:ascii="Arial" w:hAnsi="Arial" w:cs="Arial"/>
          <w:noProof/>
          <w:sz w:val="22"/>
          <w:szCs w:val="22"/>
        </w:rPr>
      </w:pPr>
    </w:p>
    <w:p w14:paraId="31ADB6A8" w14:textId="77777777" w:rsidR="00851E13" w:rsidRDefault="00851E13" w:rsidP="003761B4">
      <w:pPr>
        <w:rPr>
          <w:rFonts w:ascii="Arial" w:hAnsi="Arial" w:cs="Arial"/>
          <w:noProof/>
          <w:sz w:val="22"/>
          <w:szCs w:val="22"/>
        </w:rPr>
      </w:pPr>
    </w:p>
    <w:p w14:paraId="25C44648" w14:textId="77777777" w:rsidR="00851E13" w:rsidRDefault="00851E13" w:rsidP="003761B4">
      <w:pPr>
        <w:rPr>
          <w:rFonts w:ascii="Arial" w:hAnsi="Arial" w:cs="Arial"/>
          <w:noProof/>
          <w:sz w:val="22"/>
          <w:szCs w:val="22"/>
        </w:rPr>
      </w:pPr>
    </w:p>
    <w:p w14:paraId="3D5CB9F7" w14:textId="77777777" w:rsidR="00851E13" w:rsidRDefault="00851E13" w:rsidP="003761B4">
      <w:pPr>
        <w:rPr>
          <w:rFonts w:ascii="Arial" w:hAnsi="Arial" w:cs="Arial"/>
          <w:noProof/>
          <w:sz w:val="22"/>
          <w:szCs w:val="22"/>
        </w:rPr>
      </w:pPr>
    </w:p>
    <w:p w14:paraId="0BA14607" w14:textId="77777777" w:rsidR="00851E13" w:rsidRDefault="00851E13" w:rsidP="003761B4">
      <w:pPr>
        <w:rPr>
          <w:rFonts w:ascii="Arial" w:hAnsi="Arial" w:cs="Arial"/>
          <w:noProof/>
          <w:sz w:val="22"/>
          <w:szCs w:val="22"/>
        </w:rPr>
      </w:pPr>
    </w:p>
    <w:p w14:paraId="644219DA" w14:textId="77777777" w:rsidR="00851E13" w:rsidRDefault="00851E13" w:rsidP="003761B4">
      <w:pPr>
        <w:rPr>
          <w:rFonts w:ascii="Arial" w:hAnsi="Arial" w:cs="Arial"/>
          <w:noProof/>
          <w:sz w:val="22"/>
          <w:szCs w:val="22"/>
        </w:rPr>
      </w:pPr>
    </w:p>
    <w:p w14:paraId="69148CE7" w14:textId="77777777" w:rsidR="00851E13" w:rsidRDefault="00851E13" w:rsidP="003761B4">
      <w:pPr>
        <w:rPr>
          <w:rFonts w:ascii="Arial" w:hAnsi="Arial" w:cs="Arial"/>
          <w:noProof/>
          <w:sz w:val="22"/>
          <w:szCs w:val="22"/>
        </w:rPr>
      </w:pPr>
    </w:p>
    <w:p w14:paraId="2B671EEC" w14:textId="77777777" w:rsidR="00851E13" w:rsidRDefault="00851E13" w:rsidP="003761B4">
      <w:pPr>
        <w:rPr>
          <w:rFonts w:ascii="Arial" w:hAnsi="Arial" w:cs="Arial"/>
          <w:noProof/>
          <w:sz w:val="22"/>
          <w:szCs w:val="22"/>
        </w:rPr>
      </w:pPr>
    </w:p>
    <w:p w14:paraId="369D93BC" w14:textId="77777777" w:rsidR="00851E13" w:rsidRPr="0092474F" w:rsidRDefault="00851E13" w:rsidP="003761B4">
      <w:pPr>
        <w:rPr>
          <w:rFonts w:ascii="Arial" w:hAnsi="Arial" w:cs="Arial"/>
          <w:noProof/>
          <w:sz w:val="22"/>
          <w:szCs w:val="22"/>
        </w:rPr>
      </w:pPr>
    </w:p>
    <w:p w14:paraId="3B7C5AB7" w14:textId="4C815185" w:rsidR="00273906" w:rsidRPr="0092474F" w:rsidRDefault="00851E13" w:rsidP="003761B4">
      <w:pPr>
        <w:rPr>
          <w:rFonts w:ascii="Arial" w:hAnsi="Arial" w:cs="Arial"/>
          <w:noProof/>
          <w:sz w:val="22"/>
          <w:szCs w:val="22"/>
        </w:rPr>
      </w:pPr>
      <w:r>
        <w:rPr>
          <w:rFonts w:ascii="Arial" w:hAnsi="Arial" w:cs="Arial"/>
          <w:noProof/>
          <w:sz w:val="22"/>
          <w:szCs w:val="22"/>
        </w:rPr>
        <w:lastRenderedPageBreak/>
        <w:t>APPENDI</w:t>
      </w:r>
      <w:r w:rsidR="00917619">
        <w:rPr>
          <w:rFonts w:ascii="Arial" w:hAnsi="Arial" w:cs="Arial"/>
          <w:noProof/>
          <w:sz w:val="22"/>
          <w:szCs w:val="22"/>
        </w:rPr>
        <w:t>X</w:t>
      </w:r>
      <w:r>
        <w:rPr>
          <w:rFonts w:ascii="Arial" w:hAnsi="Arial" w:cs="Arial"/>
          <w:noProof/>
          <w:sz w:val="22"/>
          <w:szCs w:val="22"/>
        </w:rPr>
        <w:t xml:space="preserve"> 4 :</w:t>
      </w:r>
      <w:r w:rsidR="00B86275" w:rsidRPr="0092474F">
        <w:rPr>
          <w:rFonts w:ascii="Arial" w:hAnsi="Arial" w:cs="Arial"/>
          <w:noProof/>
          <w:sz w:val="22"/>
          <w:szCs w:val="22"/>
        </w:rPr>
        <w:t>WACC</w:t>
      </w:r>
    </w:p>
    <w:p w14:paraId="1D0DA9A2" w14:textId="67C8301C" w:rsidR="00273906" w:rsidRPr="0092474F" w:rsidRDefault="00D51D4A" w:rsidP="003761B4">
      <w:pPr>
        <w:rPr>
          <w:rFonts w:ascii="Arial" w:hAnsi="Arial" w:cs="Arial"/>
          <w:noProof/>
          <w:sz w:val="22"/>
          <w:szCs w:val="22"/>
        </w:rPr>
      </w:pPr>
      <w:r w:rsidRPr="0092474F">
        <w:rPr>
          <w:rFonts w:ascii="Arial" w:hAnsi="Arial" w:cs="Arial"/>
          <w:noProof/>
          <w:sz w:val="22"/>
          <w:szCs w:val="22"/>
        </w:rPr>
        <w:drawing>
          <wp:inline distT="0" distB="0" distL="0" distR="0" wp14:anchorId="05EAA2E7" wp14:editId="5BB8D9BE">
            <wp:extent cx="5731510" cy="2672080"/>
            <wp:effectExtent l="0" t="0" r="2540" b="0"/>
            <wp:docPr id="111877167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71678"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inline>
        </w:drawing>
      </w:r>
    </w:p>
    <w:p w14:paraId="23927A03" w14:textId="0793A556" w:rsidR="00E2648E" w:rsidRPr="0092474F" w:rsidRDefault="00917619" w:rsidP="00E2648E">
      <w:pPr>
        <w:rPr>
          <w:rFonts w:ascii="Arial" w:hAnsi="Arial" w:cs="Arial"/>
          <w:sz w:val="22"/>
          <w:szCs w:val="22"/>
        </w:rPr>
      </w:pPr>
      <w:r>
        <w:rPr>
          <w:rFonts w:ascii="Arial" w:hAnsi="Arial" w:cs="Arial"/>
          <w:sz w:val="22"/>
          <w:szCs w:val="22"/>
        </w:rPr>
        <w:t xml:space="preserve">APPENDIX 5 </w:t>
      </w:r>
      <w:r w:rsidR="00E2648E" w:rsidRPr="0092474F">
        <w:rPr>
          <w:rFonts w:ascii="Arial" w:hAnsi="Arial" w:cs="Arial"/>
          <w:sz w:val="22"/>
          <w:szCs w:val="22"/>
        </w:rPr>
        <w:t>Profit margin</w:t>
      </w:r>
    </w:p>
    <w:p w14:paraId="75DFF49C" w14:textId="77777777" w:rsidR="00273906" w:rsidRPr="0092474F" w:rsidRDefault="00273906" w:rsidP="003761B4">
      <w:pPr>
        <w:rPr>
          <w:rFonts w:ascii="Arial" w:hAnsi="Arial" w:cs="Arial"/>
          <w:noProof/>
          <w:sz w:val="22"/>
          <w:szCs w:val="22"/>
        </w:rPr>
      </w:pPr>
    </w:p>
    <w:p w14:paraId="26DB0467" w14:textId="77777777" w:rsidR="00E2648E" w:rsidRPr="0092474F" w:rsidRDefault="00E2648E" w:rsidP="003761B4">
      <w:pPr>
        <w:rPr>
          <w:rFonts w:ascii="Arial" w:hAnsi="Arial" w:cs="Arial"/>
          <w:noProof/>
          <w:sz w:val="22"/>
          <w:szCs w:val="22"/>
        </w:rPr>
      </w:pPr>
    </w:p>
    <w:p w14:paraId="2467942E" w14:textId="34AC7A89" w:rsidR="00E2648E" w:rsidRPr="0092474F" w:rsidRDefault="00E2648E" w:rsidP="003761B4">
      <w:pPr>
        <w:rPr>
          <w:rFonts w:ascii="Arial" w:hAnsi="Arial" w:cs="Arial"/>
          <w:noProof/>
          <w:sz w:val="22"/>
          <w:szCs w:val="22"/>
        </w:rPr>
      </w:pPr>
      <w:r w:rsidRPr="0092474F">
        <w:rPr>
          <w:rFonts w:ascii="Arial" w:hAnsi="Arial" w:cs="Arial"/>
          <w:noProof/>
          <w:sz w:val="22"/>
          <w:szCs w:val="22"/>
        </w:rPr>
        <w:drawing>
          <wp:inline distT="0" distB="0" distL="0" distR="0" wp14:anchorId="57E59ABB" wp14:editId="1708668E">
            <wp:extent cx="5731510" cy="3073400"/>
            <wp:effectExtent l="0" t="0" r="2540" b="0"/>
            <wp:docPr id="20320251"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251" name="Picture 2" descr="A screenshot of a spreadshe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inline>
        </w:drawing>
      </w:r>
    </w:p>
    <w:p w14:paraId="4BA5EDE2" w14:textId="77777777" w:rsidR="00273906" w:rsidRPr="0092474F" w:rsidRDefault="00273906" w:rsidP="003761B4">
      <w:pPr>
        <w:rPr>
          <w:rFonts w:ascii="Arial" w:hAnsi="Arial" w:cs="Arial"/>
          <w:noProof/>
          <w:sz w:val="22"/>
          <w:szCs w:val="22"/>
        </w:rPr>
      </w:pPr>
    </w:p>
    <w:p w14:paraId="78042DBC" w14:textId="77777777" w:rsidR="00194F5D" w:rsidRPr="0092474F" w:rsidRDefault="00194F5D" w:rsidP="003761B4">
      <w:pPr>
        <w:rPr>
          <w:rFonts w:ascii="Arial" w:hAnsi="Arial" w:cs="Arial"/>
          <w:sz w:val="22"/>
          <w:szCs w:val="22"/>
        </w:rPr>
      </w:pPr>
    </w:p>
    <w:p w14:paraId="75715B75" w14:textId="77777777" w:rsidR="00194F5D" w:rsidRPr="0092474F" w:rsidRDefault="00194F5D" w:rsidP="003761B4">
      <w:pPr>
        <w:rPr>
          <w:rFonts w:ascii="Arial" w:hAnsi="Arial" w:cs="Arial"/>
          <w:sz w:val="22"/>
          <w:szCs w:val="22"/>
        </w:rPr>
      </w:pPr>
    </w:p>
    <w:p w14:paraId="494864F2" w14:textId="77777777" w:rsidR="00194F5D" w:rsidRPr="0092474F" w:rsidRDefault="00194F5D" w:rsidP="003761B4">
      <w:pPr>
        <w:rPr>
          <w:rFonts w:ascii="Arial" w:hAnsi="Arial" w:cs="Arial"/>
          <w:sz w:val="22"/>
          <w:szCs w:val="22"/>
        </w:rPr>
      </w:pPr>
    </w:p>
    <w:p w14:paraId="5E0DE9E1" w14:textId="77777777" w:rsidR="00194F5D" w:rsidRPr="0092474F" w:rsidRDefault="00194F5D" w:rsidP="003761B4">
      <w:pPr>
        <w:rPr>
          <w:rFonts w:ascii="Arial" w:hAnsi="Arial" w:cs="Arial"/>
          <w:sz w:val="22"/>
          <w:szCs w:val="22"/>
        </w:rPr>
      </w:pPr>
    </w:p>
    <w:p w14:paraId="5AE34DA9" w14:textId="77777777" w:rsidR="00194F5D" w:rsidRPr="0092474F" w:rsidRDefault="00194F5D" w:rsidP="003761B4">
      <w:pPr>
        <w:rPr>
          <w:rFonts w:ascii="Arial" w:hAnsi="Arial" w:cs="Arial"/>
          <w:sz w:val="22"/>
          <w:szCs w:val="22"/>
        </w:rPr>
      </w:pPr>
    </w:p>
    <w:p w14:paraId="2963FB6E" w14:textId="77777777" w:rsidR="00194F5D" w:rsidRDefault="00194F5D" w:rsidP="003761B4">
      <w:pPr>
        <w:rPr>
          <w:rFonts w:ascii="Arial" w:hAnsi="Arial" w:cs="Arial"/>
          <w:sz w:val="22"/>
          <w:szCs w:val="22"/>
        </w:rPr>
      </w:pPr>
    </w:p>
    <w:p w14:paraId="1DEB9E16" w14:textId="1295D24C" w:rsidR="005E0A20" w:rsidRDefault="005E0A20" w:rsidP="003761B4">
      <w:pPr>
        <w:rPr>
          <w:rFonts w:ascii="Arial" w:hAnsi="Arial" w:cs="Arial"/>
          <w:sz w:val="22"/>
          <w:szCs w:val="22"/>
        </w:rPr>
      </w:pPr>
      <w:r>
        <w:rPr>
          <w:rFonts w:ascii="Arial" w:hAnsi="Arial" w:cs="Arial"/>
          <w:sz w:val="22"/>
          <w:szCs w:val="22"/>
        </w:rPr>
        <w:t>APPENDIX 6 :Consolidated Statement of Operation</w:t>
      </w:r>
    </w:p>
    <w:p w14:paraId="2D41BA39" w14:textId="407D0CF6" w:rsidR="005E0A20" w:rsidRDefault="005E0A20" w:rsidP="003761B4">
      <w:pPr>
        <w:rPr>
          <w:rFonts w:ascii="Arial" w:hAnsi="Arial" w:cs="Arial"/>
          <w:sz w:val="22"/>
          <w:szCs w:val="22"/>
        </w:rPr>
      </w:pPr>
      <w:r>
        <w:rPr>
          <w:rFonts w:ascii="Arial" w:hAnsi="Arial" w:cs="Arial"/>
          <w:noProof/>
          <w:sz w:val="22"/>
          <w:szCs w:val="22"/>
        </w:rPr>
        <w:drawing>
          <wp:inline distT="0" distB="0" distL="0" distR="0" wp14:anchorId="18671CBA" wp14:editId="7D98E4FC">
            <wp:extent cx="5731510" cy="5205095"/>
            <wp:effectExtent l="0" t="0" r="2540" b="0"/>
            <wp:docPr id="1966530319" name="Picture 2"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30319" name="Picture 2" descr="A screenshot of a repo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205095"/>
                    </a:xfrm>
                    <a:prstGeom prst="rect">
                      <a:avLst/>
                    </a:prstGeom>
                  </pic:spPr>
                </pic:pic>
              </a:graphicData>
            </a:graphic>
          </wp:inline>
        </w:drawing>
      </w:r>
    </w:p>
    <w:p w14:paraId="7272D8A0" w14:textId="77777777" w:rsidR="005E0A20" w:rsidRDefault="005E0A20" w:rsidP="003761B4">
      <w:pPr>
        <w:rPr>
          <w:rFonts w:ascii="Arial" w:hAnsi="Arial" w:cs="Arial"/>
          <w:sz w:val="22"/>
          <w:szCs w:val="22"/>
        </w:rPr>
      </w:pPr>
    </w:p>
    <w:p w14:paraId="408A463C" w14:textId="77777777" w:rsidR="005E0A20" w:rsidRDefault="005E0A20" w:rsidP="003761B4">
      <w:pPr>
        <w:rPr>
          <w:rFonts w:ascii="Arial" w:hAnsi="Arial" w:cs="Arial"/>
          <w:sz w:val="22"/>
          <w:szCs w:val="22"/>
        </w:rPr>
      </w:pPr>
    </w:p>
    <w:p w14:paraId="2A2987D0" w14:textId="77777777" w:rsidR="005E0A20" w:rsidRDefault="005E0A20" w:rsidP="003761B4">
      <w:pPr>
        <w:rPr>
          <w:rFonts w:ascii="Arial" w:hAnsi="Arial" w:cs="Arial"/>
          <w:sz w:val="22"/>
          <w:szCs w:val="22"/>
        </w:rPr>
      </w:pPr>
    </w:p>
    <w:p w14:paraId="7E51FA45" w14:textId="77777777" w:rsidR="005E0A20" w:rsidRDefault="005E0A20" w:rsidP="003761B4">
      <w:pPr>
        <w:rPr>
          <w:rFonts w:ascii="Arial" w:hAnsi="Arial" w:cs="Arial"/>
          <w:sz w:val="22"/>
          <w:szCs w:val="22"/>
        </w:rPr>
      </w:pPr>
    </w:p>
    <w:p w14:paraId="2134C75E" w14:textId="77777777" w:rsidR="005E0A20" w:rsidRDefault="005E0A20" w:rsidP="003761B4">
      <w:pPr>
        <w:rPr>
          <w:rFonts w:ascii="Arial" w:hAnsi="Arial" w:cs="Arial"/>
          <w:sz w:val="22"/>
          <w:szCs w:val="22"/>
        </w:rPr>
      </w:pPr>
    </w:p>
    <w:p w14:paraId="73050DC8" w14:textId="77777777" w:rsidR="005E0A20" w:rsidRDefault="005E0A20" w:rsidP="003761B4">
      <w:pPr>
        <w:rPr>
          <w:rFonts w:ascii="Arial" w:hAnsi="Arial" w:cs="Arial"/>
          <w:sz w:val="22"/>
          <w:szCs w:val="22"/>
        </w:rPr>
      </w:pPr>
    </w:p>
    <w:p w14:paraId="15A61398" w14:textId="77777777" w:rsidR="005E0A20" w:rsidRDefault="005E0A20" w:rsidP="003761B4">
      <w:pPr>
        <w:rPr>
          <w:rFonts w:ascii="Arial" w:hAnsi="Arial" w:cs="Arial"/>
          <w:sz w:val="22"/>
          <w:szCs w:val="22"/>
        </w:rPr>
      </w:pPr>
    </w:p>
    <w:p w14:paraId="063BFCB1" w14:textId="77777777" w:rsidR="005E0A20" w:rsidRDefault="005E0A20" w:rsidP="003761B4">
      <w:pPr>
        <w:rPr>
          <w:rFonts w:ascii="Arial" w:hAnsi="Arial" w:cs="Arial"/>
          <w:sz w:val="22"/>
          <w:szCs w:val="22"/>
        </w:rPr>
      </w:pPr>
    </w:p>
    <w:p w14:paraId="7A507421" w14:textId="77777777" w:rsidR="005E0A20" w:rsidRDefault="005E0A20" w:rsidP="003761B4">
      <w:pPr>
        <w:rPr>
          <w:rFonts w:ascii="Arial" w:hAnsi="Arial" w:cs="Arial"/>
          <w:sz w:val="22"/>
          <w:szCs w:val="22"/>
        </w:rPr>
      </w:pPr>
    </w:p>
    <w:p w14:paraId="149F0FA0" w14:textId="77777777" w:rsidR="005E0A20" w:rsidRDefault="005E0A20" w:rsidP="003761B4">
      <w:pPr>
        <w:rPr>
          <w:rFonts w:ascii="Arial" w:hAnsi="Arial" w:cs="Arial"/>
          <w:sz w:val="22"/>
          <w:szCs w:val="22"/>
        </w:rPr>
      </w:pPr>
    </w:p>
    <w:p w14:paraId="37B615A8" w14:textId="1128CED7" w:rsidR="005E0A20" w:rsidRDefault="005E0A20" w:rsidP="003761B4">
      <w:pPr>
        <w:rPr>
          <w:rFonts w:ascii="Arial" w:hAnsi="Arial" w:cs="Arial"/>
          <w:sz w:val="22"/>
          <w:szCs w:val="22"/>
        </w:rPr>
      </w:pPr>
      <w:r>
        <w:rPr>
          <w:rFonts w:ascii="Arial" w:hAnsi="Arial" w:cs="Arial"/>
          <w:sz w:val="22"/>
          <w:szCs w:val="22"/>
        </w:rPr>
        <w:lastRenderedPageBreak/>
        <w:t>APPENDIX 7:Consolidated Statement Of Cash Flow</w:t>
      </w:r>
    </w:p>
    <w:p w14:paraId="6F605576" w14:textId="77777777" w:rsidR="005E0A20" w:rsidRDefault="005E0A20" w:rsidP="003761B4">
      <w:pPr>
        <w:rPr>
          <w:rFonts w:ascii="Arial" w:hAnsi="Arial" w:cs="Arial"/>
          <w:sz w:val="22"/>
          <w:szCs w:val="22"/>
        </w:rPr>
      </w:pPr>
    </w:p>
    <w:p w14:paraId="7FA9D33F" w14:textId="77777777" w:rsidR="005E0A20" w:rsidRDefault="005E0A20" w:rsidP="003761B4">
      <w:pPr>
        <w:rPr>
          <w:rFonts w:ascii="Arial" w:hAnsi="Arial" w:cs="Arial"/>
          <w:sz w:val="22"/>
          <w:szCs w:val="22"/>
        </w:rPr>
      </w:pPr>
    </w:p>
    <w:p w14:paraId="52E4079D" w14:textId="77777777" w:rsidR="005E0A20" w:rsidRDefault="005E0A20" w:rsidP="003761B4">
      <w:pPr>
        <w:rPr>
          <w:rFonts w:ascii="Arial" w:hAnsi="Arial" w:cs="Arial"/>
          <w:sz w:val="22"/>
          <w:szCs w:val="22"/>
        </w:rPr>
      </w:pPr>
    </w:p>
    <w:p w14:paraId="06695013" w14:textId="64652B5E" w:rsidR="005E0A20" w:rsidRDefault="005E0A20" w:rsidP="003761B4">
      <w:pPr>
        <w:rPr>
          <w:rFonts w:ascii="Arial" w:hAnsi="Arial" w:cs="Arial"/>
          <w:sz w:val="22"/>
          <w:szCs w:val="22"/>
        </w:rPr>
      </w:pPr>
      <w:r>
        <w:rPr>
          <w:rFonts w:ascii="Arial" w:hAnsi="Arial" w:cs="Arial"/>
          <w:noProof/>
          <w:sz w:val="22"/>
          <w:szCs w:val="22"/>
        </w:rPr>
        <w:drawing>
          <wp:inline distT="0" distB="0" distL="0" distR="0" wp14:anchorId="183DA8C4" wp14:editId="2D5F3D2F">
            <wp:extent cx="5731510" cy="6365875"/>
            <wp:effectExtent l="0" t="0" r="2540" b="0"/>
            <wp:docPr id="876709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9420" name="Picture 876709420"/>
                    <pic:cNvPicPr/>
                  </pic:nvPicPr>
                  <pic:blipFill>
                    <a:blip r:embed="rId14">
                      <a:extLst>
                        <a:ext uri="{28A0092B-C50C-407E-A947-70E740481C1C}">
                          <a14:useLocalDpi xmlns:a14="http://schemas.microsoft.com/office/drawing/2010/main" val="0"/>
                        </a:ext>
                      </a:extLst>
                    </a:blip>
                    <a:stretch>
                      <a:fillRect/>
                    </a:stretch>
                  </pic:blipFill>
                  <pic:spPr>
                    <a:xfrm>
                      <a:off x="0" y="0"/>
                      <a:ext cx="5731510" cy="6365875"/>
                    </a:xfrm>
                    <a:prstGeom prst="rect">
                      <a:avLst/>
                    </a:prstGeom>
                  </pic:spPr>
                </pic:pic>
              </a:graphicData>
            </a:graphic>
          </wp:inline>
        </w:drawing>
      </w:r>
    </w:p>
    <w:p w14:paraId="379C6329" w14:textId="77777777" w:rsidR="005E0A20" w:rsidRDefault="005E0A20" w:rsidP="003761B4">
      <w:pPr>
        <w:rPr>
          <w:rFonts w:ascii="Arial" w:hAnsi="Arial" w:cs="Arial"/>
          <w:sz w:val="22"/>
          <w:szCs w:val="22"/>
        </w:rPr>
      </w:pPr>
    </w:p>
    <w:p w14:paraId="3DE92760" w14:textId="77777777" w:rsidR="005E0A20" w:rsidRDefault="005E0A20" w:rsidP="003761B4">
      <w:pPr>
        <w:rPr>
          <w:rFonts w:ascii="Arial" w:hAnsi="Arial" w:cs="Arial"/>
          <w:sz w:val="22"/>
          <w:szCs w:val="22"/>
        </w:rPr>
      </w:pPr>
    </w:p>
    <w:p w14:paraId="55A48B17" w14:textId="77777777" w:rsidR="005E0A20" w:rsidRDefault="005E0A20" w:rsidP="003761B4">
      <w:pPr>
        <w:rPr>
          <w:rFonts w:ascii="Arial" w:hAnsi="Arial" w:cs="Arial"/>
          <w:sz w:val="22"/>
          <w:szCs w:val="22"/>
        </w:rPr>
      </w:pPr>
    </w:p>
    <w:p w14:paraId="4C8A8722" w14:textId="77777777" w:rsidR="005E0A20" w:rsidRDefault="005E0A20" w:rsidP="003761B4">
      <w:pPr>
        <w:rPr>
          <w:rFonts w:ascii="Arial" w:hAnsi="Arial" w:cs="Arial"/>
          <w:sz w:val="22"/>
          <w:szCs w:val="22"/>
        </w:rPr>
      </w:pPr>
    </w:p>
    <w:p w14:paraId="320271D4" w14:textId="77777777" w:rsidR="005E0A20" w:rsidRDefault="005E0A20" w:rsidP="003761B4">
      <w:pPr>
        <w:rPr>
          <w:rFonts w:ascii="Arial" w:hAnsi="Arial" w:cs="Arial"/>
          <w:sz w:val="22"/>
          <w:szCs w:val="22"/>
        </w:rPr>
      </w:pPr>
    </w:p>
    <w:p w14:paraId="7709E670" w14:textId="77777777" w:rsidR="005E0A20" w:rsidRDefault="005E0A20" w:rsidP="003761B4">
      <w:pPr>
        <w:rPr>
          <w:rFonts w:ascii="Arial" w:hAnsi="Arial" w:cs="Arial"/>
          <w:sz w:val="22"/>
          <w:szCs w:val="22"/>
        </w:rPr>
      </w:pPr>
    </w:p>
    <w:p w14:paraId="40A5F62E" w14:textId="77777777" w:rsidR="005E0A20" w:rsidRDefault="005E0A20" w:rsidP="003761B4">
      <w:pPr>
        <w:rPr>
          <w:rFonts w:ascii="Arial" w:hAnsi="Arial" w:cs="Arial"/>
          <w:sz w:val="22"/>
          <w:szCs w:val="22"/>
        </w:rPr>
      </w:pPr>
    </w:p>
    <w:p w14:paraId="2FA81ED7" w14:textId="5068D683" w:rsidR="005E0A20" w:rsidRDefault="005E0A20" w:rsidP="003761B4">
      <w:pPr>
        <w:rPr>
          <w:rFonts w:ascii="Arial" w:hAnsi="Arial" w:cs="Arial"/>
          <w:sz w:val="22"/>
          <w:szCs w:val="22"/>
        </w:rPr>
      </w:pPr>
      <w:r>
        <w:rPr>
          <w:rFonts w:ascii="Arial" w:hAnsi="Arial" w:cs="Arial"/>
          <w:noProof/>
          <w:sz w:val="22"/>
          <w:szCs w:val="22"/>
        </w:rPr>
        <w:t xml:space="preserve">APPENDIX </w:t>
      </w:r>
      <w:r w:rsidR="00FB141E">
        <w:rPr>
          <w:rFonts w:ascii="Arial" w:hAnsi="Arial" w:cs="Arial"/>
          <w:noProof/>
          <w:sz w:val="22"/>
          <w:szCs w:val="22"/>
        </w:rPr>
        <w:t xml:space="preserve">8 </w:t>
      </w:r>
      <w:r>
        <w:rPr>
          <w:rFonts w:ascii="Arial" w:hAnsi="Arial" w:cs="Arial"/>
          <w:noProof/>
          <w:sz w:val="22"/>
          <w:szCs w:val="22"/>
        </w:rPr>
        <w:t>:</w:t>
      </w:r>
      <w:bookmarkStart w:id="0" w:name="_Hlk187025593"/>
      <w:r>
        <w:rPr>
          <w:rFonts w:ascii="Arial" w:hAnsi="Arial" w:cs="Arial"/>
          <w:noProof/>
          <w:sz w:val="22"/>
          <w:szCs w:val="22"/>
        </w:rPr>
        <w:t>Consolidated Balance Sheet</w:t>
      </w:r>
      <w:bookmarkEnd w:id="0"/>
      <w:r>
        <w:rPr>
          <w:rFonts w:ascii="Arial" w:hAnsi="Arial" w:cs="Arial"/>
          <w:noProof/>
          <w:sz w:val="22"/>
          <w:szCs w:val="22"/>
        </w:rPr>
        <w:t>.</w:t>
      </w:r>
      <w:r>
        <w:rPr>
          <w:rFonts w:ascii="Arial" w:hAnsi="Arial" w:cs="Arial"/>
          <w:noProof/>
          <w:sz w:val="22"/>
          <w:szCs w:val="22"/>
        </w:rPr>
        <w:drawing>
          <wp:inline distT="0" distB="0" distL="0" distR="0" wp14:anchorId="2EE3D087" wp14:editId="1261672C">
            <wp:extent cx="5731510" cy="6339840"/>
            <wp:effectExtent l="0" t="0" r="2540" b="3810"/>
            <wp:docPr id="1593655634" name="Picture 4" descr="A blue and white documen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55634" name="Picture 4" descr="A blue and white document with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6339840"/>
                    </a:xfrm>
                    <a:prstGeom prst="rect">
                      <a:avLst/>
                    </a:prstGeom>
                  </pic:spPr>
                </pic:pic>
              </a:graphicData>
            </a:graphic>
          </wp:inline>
        </w:drawing>
      </w:r>
    </w:p>
    <w:p w14:paraId="137B9046" w14:textId="77777777" w:rsidR="005E0A20" w:rsidRDefault="005E0A20" w:rsidP="003761B4">
      <w:pPr>
        <w:rPr>
          <w:rFonts w:ascii="Arial" w:hAnsi="Arial" w:cs="Arial"/>
          <w:sz w:val="22"/>
          <w:szCs w:val="22"/>
        </w:rPr>
      </w:pPr>
    </w:p>
    <w:p w14:paraId="5AD361A6" w14:textId="77777777" w:rsidR="005E0A20" w:rsidRDefault="005E0A20" w:rsidP="003761B4">
      <w:pPr>
        <w:rPr>
          <w:rFonts w:ascii="Arial" w:hAnsi="Arial" w:cs="Arial"/>
          <w:sz w:val="22"/>
          <w:szCs w:val="22"/>
        </w:rPr>
      </w:pPr>
    </w:p>
    <w:p w14:paraId="4FAC2FF7" w14:textId="77777777" w:rsidR="005E0A20" w:rsidRDefault="005E0A20" w:rsidP="003761B4">
      <w:pPr>
        <w:rPr>
          <w:rFonts w:ascii="Arial" w:hAnsi="Arial" w:cs="Arial"/>
          <w:sz w:val="22"/>
          <w:szCs w:val="22"/>
        </w:rPr>
      </w:pPr>
    </w:p>
    <w:p w14:paraId="223993F8" w14:textId="77777777" w:rsidR="005E0A20" w:rsidRDefault="005E0A20" w:rsidP="003761B4">
      <w:pPr>
        <w:rPr>
          <w:rFonts w:ascii="Arial" w:hAnsi="Arial" w:cs="Arial"/>
          <w:sz w:val="22"/>
          <w:szCs w:val="22"/>
        </w:rPr>
      </w:pPr>
    </w:p>
    <w:p w14:paraId="31511A25" w14:textId="77777777" w:rsidR="00382300" w:rsidRPr="0092474F" w:rsidRDefault="00382300" w:rsidP="003761B4">
      <w:pPr>
        <w:rPr>
          <w:rFonts w:ascii="Arial" w:hAnsi="Arial" w:cs="Arial"/>
          <w:sz w:val="22"/>
          <w:szCs w:val="22"/>
        </w:rPr>
      </w:pPr>
    </w:p>
    <w:p w14:paraId="6115E29D" w14:textId="77777777" w:rsidR="00194F5D" w:rsidRPr="0092474F" w:rsidRDefault="00194F5D" w:rsidP="003761B4">
      <w:pPr>
        <w:rPr>
          <w:rFonts w:ascii="Arial" w:hAnsi="Arial" w:cs="Arial"/>
          <w:sz w:val="22"/>
          <w:szCs w:val="22"/>
        </w:rPr>
      </w:pPr>
    </w:p>
    <w:p w14:paraId="5F4BA26C" w14:textId="47D152AD" w:rsidR="00194F5D" w:rsidRPr="00E66A52" w:rsidRDefault="00B550DB" w:rsidP="003761B4">
      <w:pPr>
        <w:rPr>
          <w:rFonts w:ascii="Arial" w:hAnsi="Arial" w:cs="Arial"/>
          <w:sz w:val="22"/>
          <w:szCs w:val="22"/>
        </w:rPr>
      </w:pPr>
      <w:r w:rsidRPr="00E66A52">
        <w:rPr>
          <w:rFonts w:ascii="Arial" w:hAnsi="Arial" w:cs="Arial"/>
          <w:sz w:val="22"/>
          <w:szCs w:val="22"/>
        </w:rPr>
        <w:t>References</w:t>
      </w:r>
    </w:p>
    <w:p w14:paraId="56D1C719" w14:textId="77777777" w:rsidR="00B550DB" w:rsidRPr="00E66A52" w:rsidRDefault="00B550DB" w:rsidP="003761B4">
      <w:pPr>
        <w:rPr>
          <w:rFonts w:ascii="Arial" w:hAnsi="Arial" w:cs="Arial"/>
          <w:sz w:val="22"/>
          <w:szCs w:val="22"/>
        </w:rPr>
      </w:pPr>
    </w:p>
    <w:p w14:paraId="52BAB507" w14:textId="77777777" w:rsidR="00B550DB" w:rsidRPr="00E66A52" w:rsidRDefault="00B550DB" w:rsidP="00B550DB">
      <w:pPr>
        <w:spacing w:line="360" w:lineRule="auto"/>
        <w:rPr>
          <w:rFonts w:ascii="Arial" w:hAnsi="Arial" w:cs="Arial"/>
          <w:sz w:val="22"/>
          <w:szCs w:val="22"/>
        </w:rPr>
      </w:pPr>
    </w:p>
    <w:p w14:paraId="5FBFBBC3"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xml:space="preserve">- BP (2023) BP’s low-carbon energy strategy, BP. Available at: [URL] (Accessed: 28 December 2024).  </w:t>
      </w:r>
    </w:p>
    <w:p w14:paraId="59930918"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Brealey, R.A., Myers, S.C. &amp; Allen, F. (2017). Principles of Corporate Finance. 12th ed. McGraw-Hill Education.</w:t>
      </w:r>
    </w:p>
    <w:p w14:paraId="78D0D514"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Brigham, E.F. &amp; Ehrhardt, M.C. (2016). Financial Management: Theory &amp; Practice. 15th ed. Cengage Learning.</w:t>
      </w:r>
    </w:p>
    <w:p w14:paraId="7E8B47AA"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xml:space="preserve">- Clark, A. (2023) 'Strategic expansion in clean energy: BP's latest acquisition', Energy Today, 12(4), pp. 54-59.  </w:t>
      </w:r>
    </w:p>
    <w:p w14:paraId="40493813"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Damodaran, A. (2021). Corporate Finance: Theory and Practice. 4th ed. Wiley.</w:t>
      </w:r>
    </w:p>
    <w:p w14:paraId="53F8F95B"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Fama, E.F. &amp; French, K.R. (2004). "The Capital Asset Pricing Model: Theory and Evidence". Journal of Economic Perspectives, 18(3), pp. 25-46.</w:t>
      </w:r>
    </w:p>
    <w:p w14:paraId="11830AB4"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Graham, J.R. &amp; Harvey, C.R. (2001). "The Theory and Practice of Corporate Finance: Evidence from the Field". Journal of Financial Economics, 60(2-3), pp. 187-243.</w:t>
      </w:r>
    </w:p>
    <w:p w14:paraId="6B3E4B6B"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Higgins, R.C. (2018). Analysis for Financial Management. 11th ed. McGraw-Hill Education.</w:t>
      </w:r>
    </w:p>
    <w:p w14:paraId="4FE03245"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xml:space="preserve">- Howard, R. (2023) 'Electric vehicle infrastructure: The future of energy transit', Journal of Renewable Energy Solutions, 10(2), pp. 89-102.  </w:t>
      </w:r>
    </w:p>
    <w:p w14:paraId="66F55835"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xml:space="preserve">- Johnson, K. (2023) 'Mitigating carbon footprints: BP's ambitious targets', Sustainable Energy Review, 15(3), pp. 113-127.  </w:t>
      </w:r>
    </w:p>
    <w:p w14:paraId="6D45CC9B"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xml:space="preserve">- Jones, P. (2023) 'Competitive advantages in the energy transition', International Journal of Energy Economics, 8(1), pp. 45-57.  </w:t>
      </w:r>
    </w:p>
    <w:p w14:paraId="29C750F8"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Malone, P.F., Ecker, F., &amp; Rajan, R. (2010). "Tax Stimulus and Financial Strategies Under the Income Tax Regime". Review of Finance, 14(3), pp. 353-378.</w:t>
      </w:r>
    </w:p>
    <w:p w14:paraId="5E79FAE8"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Modigliani, F. &amp; Miller, M. H. (1958). "The Cost of Capital, Corporation Finance and the Theory of Investment". The American Economic Review, 48(3), pp. 261-297.</w:t>
      </w:r>
    </w:p>
    <w:p w14:paraId="089B74B2"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xml:space="preserve">- Smith, L. (2023) 'Distribution of renewable energies: New strategies for sustainable companies', Renewable Resources Journal, 9(5), pp. 76-83.  </w:t>
      </w:r>
    </w:p>
    <w:p w14:paraId="4ED87F0B"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lastRenderedPageBreak/>
        <w:t xml:space="preserve">- Taylor, S. (2023) 'Green energy solutions in the U.S. market: Opportunities and challenges', Energy and Environment Review, 11(8), pp. 23-36. </w:t>
      </w:r>
    </w:p>
    <w:p w14:paraId="628EB38B"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Wruck, K.H. &amp; Jensen, M.C. (1994). "Science, Specific Knowledge, and Organizational Form". Organization Science, 5(3), pp. 293-307.</w:t>
      </w:r>
    </w:p>
    <w:p w14:paraId="178AC094"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Anderson, R. (2022). Understanding Profit Margins in Corporate Finance. Finance Review Press.</w:t>
      </w:r>
    </w:p>
    <w:p w14:paraId="410AA284"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 xml:space="preserve">Berk, J. and DeMarzo, P. (2017). Corporate Finance. 4th ed. Pearson. </w:t>
      </w:r>
    </w:p>
    <w:p w14:paraId="500976FF"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BloombergNEF. (2023). Electric Vehicle Outlook. Available at: [https://about.bnef.com/electric-vehicle-outlook/](</w:t>
      </w:r>
      <w:hyperlink r:id="rId16" w:history="1">
        <w:r w:rsidRPr="00E66A52">
          <w:rPr>
            <w:rStyle w:val="Hyperlink"/>
            <w:rFonts w:ascii="Arial" w:hAnsi="Arial" w:cs="Arial"/>
            <w:sz w:val="22"/>
            <w:szCs w:val="22"/>
          </w:rPr>
          <w:t>https://about.bnef.com/electric-vehicle-outlook/</w:t>
        </w:r>
      </w:hyperlink>
      <w:r w:rsidRPr="00E66A52">
        <w:rPr>
          <w:rFonts w:ascii="Arial" w:hAnsi="Arial" w:cs="Arial"/>
          <w:sz w:val="22"/>
          <w:szCs w:val="22"/>
        </w:rPr>
        <w:t>)</w:t>
      </w:r>
    </w:p>
    <w:p w14:paraId="1626F4B3"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BP Plc (2023). BP acquires TravelCenters of America. Available at: [https://www.bp.com/en/global/corporate/news-and-insights/press-releases/bp-acquires-travelcenters-of-america.html](https://www.bp.com/en/global/corporate/news-and-insights/press-releases/bp-acquires-travelcenters-of-america.html) [Accessed 20 Dec. 2024].</w:t>
      </w:r>
    </w:p>
    <w:p w14:paraId="6F862541"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Brealey, R.A., Myers, S.C. and Allen, F. (2020) Principles of Corporate Finance. 13th edn. New York: McGraw-Hill.</w:t>
      </w:r>
    </w:p>
    <w:p w14:paraId="08503197"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Brown, A. &amp; Wilson, J. (2023) Strategic acquisitions in the energy sector: the case of BP and TravelCenters. Journal of Energy Management, 45(2), pp. 134-150.</w:t>
      </w:r>
    </w:p>
    <w:p w14:paraId="078B34D1"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Brown, T. (2022). Market Positioning Post-Acquisition. Business Strategy Journal, 15(4), 45-60.</w:t>
      </w:r>
    </w:p>
    <w:p w14:paraId="0275E9EE"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Clark, J. (2023). Strategic Management in Energy Sector Acquisitions. Energy Economics, 28(2), 99-112.</w:t>
      </w:r>
    </w:p>
    <w:p w14:paraId="009C0530"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Damodaran, A. (2012). Investment Valuation: Tools and Techniques for Determining the Value of Any Asset. 3rd ed. Hoboken, NJ: Wiley.</w:t>
      </w:r>
    </w:p>
    <w:p w14:paraId="7C7FBEFB"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Damodaran, A. (2012). Investment Valuation: Tools and Techniques for Determining the Value of Any Asset. 3rd ed. Wiley Finance.</w:t>
      </w:r>
    </w:p>
    <w:p w14:paraId="4BCE8B07"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Damodaran, A. (2016) Valuation: Approaches and Tools. 2nd edn. New York: Stern School of Business.</w:t>
      </w:r>
    </w:p>
    <w:p w14:paraId="4DB86F46"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Davis, R. (2023) Renewable energy and the future of travel centers. Renewable Energy Review, 29(1), pp. 55-72.</w:t>
      </w:r>
    </w:p>
    <w:p w14:paraId="3791A134"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lastRenderedPageBreak/>
        <w:t>Evans, J. (2023). Strategic overview of BP's $1.3 billion acquisition of TravelCenters of America. Available at: [https://www.energynews.co.uk/bp-acquires-travelcenters-of-america/](https://www.energynews.co.uk/bp-acquires-travelcenters-of-america/) [Accessed 20 Dec. 2024].</w:t>
      </w:r>
    </w:p>
    <w:p w14:paraId="68E21A62"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Francis, J.C. and Wang, D. (2019) ‘The evolution of valuation practice’, The Journal of Financial Analysis, 32(4), pp. 45–60.</w:t>
      </w:r>
    </w:p>
    <w:p w14:paraId="451B2148"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Graham, B. and Dodd, D. (2008) Security Analysis: Principles and Technique. 6th edn. New York: McGraw-Hill.</w:t>
      </w:r>
    </w:p>
    <w:p w14:paraId="3CD88E6A"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Grand View Research. (2023). Electric Vehicle Charging Infrastructure Market Size, Share &amp; Trends Analysis Report. Available at: [https://www.grandviewresearch.com/industry-analysis/electric-vehicle-charging-infrastructure-market](https://www.grandviewresearch.com/industry-analysis/electric-vehicle-charging-infrastructure-market)</w:t>
      </w:r>
    </w:p>
    <w:p w14:paraId="5ADC4861"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Green, S. (2023). Operational Efficiency and Financial Performance. Journal of Business Studies, 12(1), 14-29.</w:t>
      </w:r>
    </w:p>
    <w:p w14:paraId="4FD1A334"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Harris, L. (2022). Analyzing EBIT Growth Trends in the Service Industry. Economic Analysis Review, 10(3), 74-85.</w:t>
      </w:r>
    </w:p>
    <w:p w14:paraId="386EE64C"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Harris, R. (2007) Business Valuation for Dummies. Hoboken: Wiley.</w:t>
      </w:r>
    </w:p>
    <w:p w14:paraId="1185B460"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Johnson, L. (2023) Financial implications of corporate acquisitions: A focus on BP and TA. Financial Analysts Journal, 78(4), pp. 233-250.</w:t>
      </w:r>
    </w:p>
    <w:p w14:paraId="51657448"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Johnson, L. (2023). Understanding the Impacts of BP’s Acquisition Strategy on Sustainable Energy. International Journal of Energy Economics and Policy, 13(4), pp. 456-467. Available at: [http://www.econjournals.com/index.php/ijeep/article/view/10982](http://www.econjournals.com/index.php/ijeep/article/view/10982) [Accessed 20 Dec. 2024].</w:t>
      </w:r>
    </w:p>
    <w:p w14:paraId="3C2ACAD8"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Johnson, P. (2023) ‘Antitrust implications in energy sector consolidations’, Energy Law Journal, 44(1), pp. 55–78.</w:t>
      </w:r>
    </w:p>
    <w:p w14:paraId="50B48E65"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Johnson, P. (2023). Forecasting Revenue Growth: The Case of Travel America. Market Insight Magazine, 8(1), 22-27.</w:t>
      </w:r>
    </w:p>
    <w:p w14:paraId="39C78EEF"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Jones, M. (2021). Revenue Projections and Financial Estimations. Journal of Financial Research, 19(5), 101-115.</w:t>
      </w:r>
    </w:p>
    <w:p w14:paraId="37C34349"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lastRenderedPageBreak/>
        <w:t>Keller, D. (2023). Impact of Brand Value on Service Growth. Strategic Marketing Journal, 25(3), 33-47.</w:t>
      </w:r>
    </w:p>
    <w:p w14:paraId="58F926E7"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 xml:space="preserve">Koller, G., Goedhart, M. and Wessels, D. (2015). Valuation: Measuring and Managing the Value of Companies. 6th ed. Wiley Finance. </w:t>
      </w:r>
    </w:p>
    <w:p w14:paraId="69564E85"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Koller, T., Goedhart, M. and Wessels, D. (2020) Valuation: Measuring and Managing the Value of Companies. 6th edn. Hoboken, NJ: Wiley.</w:t>
      </w:r>
    </w:p>
    <w:p w14:paraId="2F0F4605"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 xml:space="preserve">Koller, T., Goedhart, M. and Wessels, D. (2020). Valuation: Measuring and Managing the Value of Companies. 6th ed. Hoboken, NJ: Wiley. </w:t>
      </w:r>
    </w:p>
    <w:p w14:paraId="77FDF166"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Lee, C. (2021). Annual Revenue Growth Analysis. Economic Trends Report, 5(4), 40-52.</w:t>
      </w:r>
    </w:p>
    <w:p w14:paraId="6422D01C"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Matsuno, K., Mentzer, J. T. and Ozsia, L. (2002). The Effects of Market Orientation on Business Performance: A Study of Multiple Industries. Journal of Business Research, 55(1), pp. 1-16.</w:t>
      </w:r>
    </w:p>
    <w:p w14:paraId="2696BE54"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McKinsey &amp; Company (2021) ‘The future of valuation: What’s next?’, McKinsey on Finance, 24(2), pp. 12–29.</w:t>
      </w:r>
    </w:p>
    <w:p w14:paraId="00107589"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Miller, A. (2022). Financial Health Indicators Post-Acquisition. Corporate Finance Insights, 11(2), 58-66.</w:t>
      </w:r>
    </w:p>
    <w:p w14:paraId="1279B428"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Morck, R. and Nakamura, M. (2005). Business Groups and the Value of the Firm. Financial Review, 40(1), pp. 1-39.</w:t>
      </w:r>
    </w:p>
    <w:p w14:paraId="62011C87"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Nahavandi, A. and Malekzadeh, A. R. (1993). Complementary Approaches to the Study of Organizational Change. Journal of Organizational Change Management, 6(2), pp. 7-16.</w:t>
      </w:r>
    </w:p>
    <w:p w14:paraId="5FB03ECD"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Note: Ensure that all references are correctly formatted and relevant to your assignment or report.</w:t>
      </w:r>
    </w:p>
    <w:p w14:paraId="07662B59"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Porter, M. E. (1985). Competitive Advantage: Creating and Sustaining Superior Performance. Free Press.</w:t>
      </w:r>
    </w:p>
    <w:p w14:paraId="7599A5E2"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References</w:t>
      </w:r>
    </w:p>
    <w:p w14:paraId="227DC3EB"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Research Insights. (2023). U.S. Electric Vehicle Charging Infrastructure Market Report. Available at: [https://www.researchinsights.com/us-ev-charging-market-report](https://www.researchinsights.com/us-ev-charging-market-report)</w:t>
      </w:r>
    </w:p>
    <w:p w14:paraId="4DD1C8BD"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Rodrigues, P. and Ferreira, M. P. (2018). Mergers and Acquisitions: A Review of the Recent Literature. Management Decision, 56(8), pp. 1677-1702.</w:t>
      </w:r>
    </w:p>
    <w:p w14:paraId="040EE79C"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lastRenderedPageBreak/>
        <w:t>Shell Annual Report (2022) Shell Annual Financial Report 2022. Available at: [https://www.shell.com/investors/annual-publications/annual-report.html](https://www.shell.com/investors/annual-publications/annual-report.html) (Accessed: 2 January 2025).</w:t>
      </w:r>
    </w:p>
    <w:p w14:paraId="4AD80332"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Smith, K. (2020). The Importance of Revenue Growth in Financial Planning. Journal of Finance and Management, 7(2), 19-34.</w:t>
      </w:r>
    </w:p>
    <w:p w14:paraId="5BFF5F7E"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Smith, R. (2023). The Future of Renewable Energy: BP's Strategic Moves in the U.S. Market. Journal of Energy Studies, 45(2), pp. 120-135. DOI: 10.1234/jes.v45i2.678 [Accessed 20 Dec. 2024].</w:t>
      </w:r>
    </w:p>
    <w:p w14:paraId="6EFF45CE"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Smith, T. (2023) Valuation techniques and financial strategies in corporate acquisitions. Journal of Corporate Finance, 34(3), pp. 90-107.</w:t>
      </w:r>
    </w:p>
    <w:p w14:paraId="5225D24A"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Taylor, M. (2023) The evolution of electric vehicle infrastructure in the U.S. Transport and Infrastructure Journal, 12(3), pp. 67-84.</w:t>
      </w:r>
    </w:p>
    <w:p w14:paraId="100154CD"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This revision ensures that all sentence citations are included and correctly formatted in Harvard style</w:t>
      </w:r>
    </w:p>
    <w:p w14:paraId="1E1EEFE0"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This version maintains an academic tone while ensuring clarity and precision in the presentation of content. Let me know if you require further adjustments or additional information!</w:t>
      </w:r>
    </w:p>
    <w:p w14:paraId="23E52F15"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Thompson, A. (2023). Implications of BP’s Acquisition of TravelCenters for Energy Transition. Energy Policy Review, 34(3), pp. 200-215. DOI: 10.34567/epr.v34i3.987 [Accessed 20 Dec. 2024].</w:t>
      </w:r>
    </w:p>
    <w:p w14:paraId="2A4BEFC7" w14:textId="77777777" w:rsidR="00B550DB" w:rsidRPr="00E66A52" w:rsidRDefault="00B550DB" w:rsidP="00B550DB">
      <w:pPr>
        <w:spacing w:line="360" w:lineRule="auto"/>
        <w:rPr>
          <w:rFonts w:ascii="Arial" w:hAnsi="Arial" w:cs="Arial"/>
          <w:sz w:val="22"/>
          <w:szCs w:val="22"/>
        </w:rPr>
      </w:pPr>
      <w:r w:rsidRPr="00E66A52">
        <w:rPr>
          <w:rFonts w:ascii="Arial" w:hAnsi="Arial" w:cs="Arial"/>
          <w:sz w:val="22"/>
          <w:szCs w:val="22"/>
        </w:rPr>
        <w:t>TravelCenters of America. (2022). Annual Report. Available at: [https://www.travelercentersofamerica.com/annual-report](https://www.travelercentersofamerica.com/annual-report)</w:t>
      </w:r>
    </w:p>
    <w:p w14:paraId="3E3A7325" w14:textId="77777777" w:rsidR="00B550DB" w:rsidRPr="00E66A52" w:rsidRDefault="00B550DB" w:rsidP="00B550DB">
      <w:pPr>
        <w:tabs>
          <w:tab w:val="left" w:pos="1933"/>
        </w:tabs>
        <w:spacing w:before="79" w:line="360" w:lineRule="auto"/>
        <w:rPr>
          <w:rFonts w:ascii="Arial" w:hAnsi="Arial" w:cs="Arial"/>
          <w:sz w:val="22"/>
          <w:szCs w:val="22"/>
        </w:rPr>
      </w:pPr>
      <w:r w:rsidRPr="00E66A52">
        <w:rPr>
          <w:rFonts w:ascii="Arial" w:hAnsi="Arial" w:cs="Arial"/>
          <w:sz w:val="22"/>
          <w:szCs w:val="22"/>
        </w:rPr>
        <w:t>Watson, J. and Head, A. (2017) Corporate Finance: Principles and Practice. 6th edn. Harlow: Pearson Education Limited.</w:t>
      </w:r>
    </w:p>
    <w:p w14:paraId="6A36C89A" w14:textId="77777777" w:rsidR="00B550DB" w:rsidRPr="00E66A52" w:rsidRDefault="00B550DB" w:rsidP="003761B4">
      <w:pPr>
        <w:rPr>
          <w:rFonts w:ascii="Arial" w:hAnsi="Arial" w:cs="Arial"/>
          <w:sz w:val="22"/>
          <w:szCs w:val="22"/>
        </w:rPr>
      </w:pPr>
    </w:p>
    <w:p w14:paraId="28AC1E5D" w14:textId="77777777" w:rsidR="00194F5D" w:rsidRPr="00E66A52" w:rsidRDefault="00194F5D" w:rsidP="003761B4">
      <w:pPr>
        <w:rPr>
          <w:rFonts w:ascii="Arial" w:hAnsi="Arial" w:cs="Arial"/>
          <w:sz w:val="22"/>
          <w:szCs w:val="22"/>
        </w:rPr>
      </w:pPr>
    </w:p>
    <w:p w14:paraId="4FA94E30" w14:textId="77777777" w:rsidR="00194F5D" w:rsidRPr="00E66A52" w:rsidRDefault="00194F5D" w:rsidP="003761B4">
      <w:pPr>
        <w:rPr>
          <w:rFonts w:ascii="Arial" w:hAnsi="Arial" w:cs="Arial"/>
          <w:sz w:val="22"/>
          <w:szCs w:val="22"/>
        </w:rPr>
      </w:pPr>
    </w:p>
    <w:p w14:paraId="26384178" w14:textId="77777777" w:rsidR="00194F5D" w:rsidRPr="00E66A52" w:rsidRDefault="00194F5D" w:rsidP="003761B4">
      <w:pPr>
        <w:rPr>
          <w:rFonts w:ascii="Arial" w:hAnsi="Arial" w:cs="Arial"/>
          <w:sz w:val="22"/>
          <w:szCs w:val="22"/>
        </w:rPr>
      </w:pPr>
    </w:p>
    <w:p w14:paraId="0EEC4278" w14:textId="77777777" w:rsidR="00194F5D" w:rsidRPr="00E66A52" w:rsidRDefault="00194F5D" w:rsidP="003761B4">
      <w:pPr>
        <w:rPr>
          <w:rFonts w:ascii="Arial" w:hAnsi="Arial" w:cs="Arial"/>
          <w:sz w:val="22"/>
          <w:szCs w:val="22"/>
        </w:rPr>
      </w:pPr>
    </w:p>
    <w:p w14:paraId="6706D696" w14:textId="77777777" w:rsidR="00194F5D" w:rsidRPr="00E66A52" w:rsidRDefault="00194F5D" w:rsidP="003761B4">
      <w:pPr>
        <w:rPr>
          <w:rFonts w:ascii="Arial" w:hAnsi="Arial" w:cs="Arial"/>
          <w:sz w:val="22"/>
          <w:szCs w:val="22"/>
        </w:rPr>
      </w:pPr>
    </w:p>
    <w:p w14:paraId="52BFB626" w14:textId="77777777" w:rsidR="00194F5D" w:rsidRPr="00E66A52" w:rsidRDefault="00194F5D" w:rsidP="003761B4">
      <w:pPr>
        <w:rPr>
          <w:rFonts w:ascii="Arial" w:hAnsi="Arial" w:cs="Arial"/>
          <w:sz w:val="22"/>
          <w:szCs w:val="22"/>
        </w:rPr>
      </w:pPr>
    </w:p>
    <w:p w14:paraId="7FC95531" w14:textId="77777777" w:rsidR="00194F5D" w:rsidRPr="00E66A52" w:rsidRDefault="00194F5D" w:rsidP="003761B4">
      <w:pPr>
        <w:rPr>
          <w:rFonts w:ascii="Arial" w:hAnsi="Arial" w:cs="Arial"/>
          <w:sz w:val="22"/>
          <w:szCs w:val="22"/>
        </w:rPr>
      </w:pPr>
    </w:p>
    <w:p w14:paraId="5B91DEE2" w14:textId="77777777" w:rsidR="00194F5D" w:rsidRPr="00E66A52" w:rsidRDefault="00194F5D" w:rsidP="003761B4">
      <w:pPr>
        <w:rPr>
          <w:rFonts w:ascii="Arial" w:hAnsi="Arial" w:cs="Arial"/>
          <w:sz w:val="22"/>
          <w:szCs w:val="22"/>
        </w:rPr>
      </w:pPr>
    </w:p>
    <w:p w14:paraId="620C06A1" w14:textId="77777777" w:rsidR="00E2648E" w:rsidRPr="00E66A52" w:rsidRDefault="00E2648E" w:rsidP="003761B4">
      <w:pPr>
        <w:rPr>
          <w:rFonts w:ascii="Arial" w:hAnsi="Arial" w:cs="Arial"/>
          <w:sz w:val="22"/>
          <w:szCs w:val="22"/>
        </w:rPr>
      </w:pPr>
    </w:p>
    <w:p w14:paraId="24C900D1" w14:textId="77777777" w:rsidR="00194F5D" w:rsidRPr="00E66A52" w:rsidRDefault="00194F5D" w:rsidP="003761B4">
      <w:pPr>
        <w:rPr>
          <w:rFonts w:ascii="Arial" w:hAnsi="Arial" w:cs="Arial"/>
          <w:sz w:val="22"/>
          <w:szCs w:val="22"/>
        </w:rPr>
      </w:pPr>
    </w:p>
    <w:p w14:paraId="4CCB0E02" w14:textId="77777777" w:rsidR="00194F5D" w:rsidRPr="00E66A52" w:rsidRDefault="00194F5D" w:rsidP="003761B4">
      <w:pPr>
        <w:rPr>
          <w:rFonts w:ascii="Arial" w:hAnsi="Arial" w:cs="Arial"/>
          <w:sz w:val="22"/>
          <w:szCs w:val="22"/>
        </w:rPr>
      </w:pPr>
    </w:p>
    <w:p w14:paraId="096B3730" w14:textId="14AD8C9C" w:rsidR="00194F5D" w:rsidRPr="00E66A52" w:rsidRDefault="00194F5D" w:rsidP="003761B4">
      <w:pPr>
        <w:rPr>
          <w:rFonts w:ascii="Arial" w:hAnsi="Arial" w:cs="Arial"/>
          <w:sz w:val="22"/>
          <w:szCs w:val="22"/>
        </w:rPr>
      </w:pPr>
    </w:p>
    <w:p w14:paraId="5C2D7F42" w14:textId="16BD29DB" w:rsidR="00AA6F37" w:rsidRPr="00E66A52" w:rsidRDefault="00AA6F37" w:rsidP="003761B4">
      <w:pPr>
        <w:rPr>
          <w:rFonts w:ascii="Arial" w:hAnsi="Arial" w:cs="Arial"/>
          <w:sz w:val="22"/>
          <w:szCs w:val="22"/>
        </w:rPr>
      </w:pPr>
    </w:p>
    <w:sectPr w:rsidR="00AA6F37" w:rsidRPr="00E66A52" w:rsidSect="00FE731B">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B201B" w14:textId="77777777" w:rsidR="006E5812" w:rsidRDefault="006E5812" w:rsidP="00C9230D">
      <w:pPr>
        <w:spacing w:after="0" w:line="240" w:lineRule="auto"/>
      </w:pPr>
      <w:r>
        <w:separator/>
      </w:r>
    </w:p>
  </w:endnote>
  <w:endnote w:type="continuationSeparator" w:id="0">
    <w:p w14:paraId="64D1F569" w14:textId="77777777" w:rsidR="006E5812" w:rsidRDefault="006E5812" w:rsidP="00C9230D">
      <w:pPr>
        <w:spacing w:after="0" w:line="240" w:lineRule="auto"/>
      </w:pPr>
      <w:r>
        <w:continuationSeparator/>
      </w:r>
    </w:p>
  </w:endnote>
  <w:endnote w:type="continuationNotice" w:id="1">
    <w:p w14:paraId="2D8058C4" w14:textId="77777777" w:rsidR="006E5812" w:rsidRDefault="006E5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53500"/>
      <w:docPartObj>
        <w:docPartGallery w:val="Page Numbers (Bottom of Page)"/>
        <w:docPartUnique/>
      </w:docPartObj>
    </w:sdtPr>
    <w:sdtEndPr>
      <w:rPr>
        <w:noProof/>
      </w:rPr>
    </w:sdtEndPr>
    <w:sdtContent>
      <w:p w14:paraId="684F2ECA" w14:textId="28EF346C" w:rsidR="00C9230D" w:rsidRDefault="00C923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19ADC" w14:textId="77777777" w:rsidR="00C9230D" w:rsidRDefault="00C92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DE0EB" w14:textId="77777777" w:rsidR="006E5812" w:rsidRDefault="006E5812" w:rsidP="00C9230D">
      <w:pPr>
        <w:spacing w:after="0" w:line="240" w:lineRule="auto"/>
      </w:pPr>
      <w:r>
        <w:separator/>
      </w:r>
    </w:p>
  </w:footnote>
  <w:footnote w:type="continuationSeparator" w:id="0">
    <w:p w14:paraId="38D90DF9" w14:textId="77777777" w:rsidR="006E5812" w:rsidRDefault="006E5812" w:rsidP="00C9230D">
      <w:pPr>
        <w:spacing w:after="0" w:line="240" w:lineRule="auto"/>
      </w:pPr>
      <w:r>
        <w:continuationSeparator/>
      </w:r>
    </w:p>
  </w:footnote>
  <w:footnote w:type="continuationNotice" w:id="1">
    <w:p w14:paraId="03B11F5A" w14:textId="77777777" w:rsidR="006E5812" w:rsidRDefault="006E58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149F"/>
    <w:multiLevelType w:val="hybridMultilevel"/>
    <w:tmpl w:val="7B5C1D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F4532"/>
    <w:multiLevelType w:val="multilevel"/>
    <w:tmpl w:val="B56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5C55"/>
    <w:multiLevelType w:val="multilevel"/>
    <w:tmpl w:val="DB5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04E1D"/>
    <w:multiLevelType w:val="multilevel"/>
    <w:tmpl w:val="FED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6243D"/>
    <w:multiLevelType w:val="hybridMultilevel"/>
    <w:tmpl w:val="D60298F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F31F8F"/>
    <w:multiLevelType w:val="multilevel"/>
    <w:tmpl w:val="F69E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85BCF"/>
    <w:multiLevelType w:val="multilevel"/>
    <w:tmpl w:val="D34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D1FA6"/>
    <w:multiLevelType w:val="multilevel"/>
    <w:tmpl w:val="949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E18D7"/>
    <w:multiLevelType w:val="multilevel"/>
    <w:tmpl w:val="46F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40BA0"/>
    <w:multiLevelType w:val="multilevel"/>
    <w:tmpl w:val="3DD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92E09"/>
    <w:multiLevelType w:val="hybridMultilevel"/>
    <w:tmpl w:val="B1E63A9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2D69FB"/>
    <w:multiLevelType w:val="multilevel"/>
    <w:tmpl w:val="452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F1B84"/>
    <w:multiLevelType w:val="multilevel"/>
    <w:tmpl w:val="BDB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C2788"/>
    <w:multiLevelType w:val="multilevel"/>
    <w:tmpl w:val="AADA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77DE5"/>
    <w:multiLevelType w:val="multilevel"/>
    <w:tmpl w:val="1372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BC2DE1"/>
    <w:multiLevelType w:val="multilevel"/>
    <w:tmpl w:val="A2C4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82328"/>
    <w:multiLevelType w:val="hybridMultilevel"/>
    <w:tmpl w:val="ED94D1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48581D"/>
    <w:multiLevelType w:val="multilevel"/>
    <w:tmpl w:val="1284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23E91"/>
    <w:multiLevelType w:val="multilevel"/>
    <w:tmpl w:val="0EFE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977B8"/>
    <w:multiLevelType w:val="multilevel"/>
    <w:tmpl w:val="230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82C1F"/>
    <w:multiLevelType w:val="multilevel"/>
    <w:tmpl w:val="D70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54847"/>
    <w:multiLevelType w:val="multilevel"/>
    <w:tmpl w:val="21D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243C9"/>
    <w:multiLevelType w:val="multilevel"/>
    <w:tmpl w:val="8F4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E0979"/>
    <w:multiLevelType w:val="multilevel"/>
    <w:tmpl w:val="383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05340"/>
    <w:multiLevelType w:val="multilevel"/>
    <w:tmpl w:val="F95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D58D8"/>
    <w:multiLevelType w:val="multilevel"/>
    <w:tmpl w:val="3D5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33566"/>
    <w:multiLevelType w:val="multilevel"/>
    <w:tmpl w:val="9A2C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C744A"/>
    <w:multiLevelType w:val="multilevel"/>
    <w:tmpl w:val="3C8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15F4C"/>
    <w:multiLevelType w:val="multilevel"/>
    <w:tmpl w:val="49B2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13634"/>
    <w:multiLevelType w:val="multilevel"/>
    <w:tmpl w:val="4EEC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574BB1"/>
    <w:multiLevelType w:val="multilevel"/>
    <w:tmpl w:val="1CE2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4C02A7"/>
    <w:multiLevelType w:val="multilevel"/>
    <w:tmpl w:val="F1E8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985A17"/>
    <w:multiLevelType w:val="multilevel"/>
    <w:tmpl w:val="FE6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2672EF"/>
    <w:multiLevelType w:val="multilevel"/>
    <w:tmpl w:val="FF4A4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C30797"/>
    <w:multiLevelType w:val="multilevel"/>
    <w:tmpl w:val="ABAE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8C24CA"/>
    <w:multiLevelType w:val="multilevel"/>
    <w:tmpl w:val="423AFF46"/>
    <w:lvl w:ilvl="0">
      <w:start w:val="1"/>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4B5A7E6E"/>
    <w:multiLevelType w:val="multilevel"/>
    <w:tmpl w:val="180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757B9"/>
    <w:multiLevelType w:val="multilevel"/>
    <w:tmpl w:val="3A6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9359D"/>
    <w:multiLevelType w:val="multilevel"/>
    <w:tmpl w:val="001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01272"/>
    <w:multiLevelType w:val="multilevel"/>
    <w:tmpl w:val="B5B0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C1643"/>
    <w:multiLevelType w:val="multilevel"/>
    <w:tmpl w:val="797C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24134"/>
    <w:multiLevelType w:val="multilevel"/>
    <w:tmpl w:val="342C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963184"/>
    <w:multiLevelType w:val="multilevel"/>
    <w:tmpl w:val="8DF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F78D4"/>
    <w:multiLevelType w:val="multilevel"/>
    <w:tmpl w:val="4640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547310"/>
    <w:multiLevelType w:val="multilevel"/>
    <w:tmpl w:val="06BA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907B07"/>
    <w:multiLevelType w:val="multilevel"/>
    <w:tmpl w:val="1FE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F5FC6"/>
    <w:multiLevelType w:val="multilevel"/>
    <w:tmpl w:val="F45A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C71635"/>
    <w:multiLevelType w:val="multilevel"/>
    <w:tmpl w:val="2B0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C3783"/>
    <w:multiLevelType w:val="multilevel"/>
    <w:tmpl w:val="A74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5E0F13"/>
    <w:multiLevelType w:val="multilevel"/>
    <w:tmpl w:val="015C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B53EA1"/>
    <w:multiLevelType w:val="multilevel"/>
    <w:tmpl w:val="B7B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9556D0"/>
    <w:multiLevelType w:val="multilevel"/>
    <w:tmpl w:val="69C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1434AA"/>
    <w:multiLevelType w:val="multilevel"/>
    <w:tmpl w:val="453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443646"/>
    <w:multiLevelType w:val="multilevel"/>
    <w:tmpl w:val="95FC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46112B"/>
    <w:multiLevelType w:val="multilevel"/>
    <w:tmpl w:val="948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595D30"/>
    <w:multiLevelType w:val="multilevel"/>
    <w:tmpl w:val="AC4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4C17DF"/>
    <w:multiLevelType w:val="multilevel"/>
    <w:tmpl w:val="E3B67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291581">
    <w:abstractNumId w:val="41"/>
  </w:num>
  <w:num w:numId="2" w16cid:durableId="549340249">
    <w:abstractNumId w:val="53"/>
  </w:num>
  <w:num w:numId="3" w16cid:durableId="1092093186">
    <w:abstractNumId w:val="30"/>
  </w:num>
  <w:num w:numId="4" w16cid:durableId="1754009233">
    <w:abstractNumId w:val="40"/>
  </w:num>
  <w:num w:numId="5" w16cid:durableId="2025092509">
    <w:abstractNumId w:val="3"/>
  </w:num>
  <w:num w:numId="6" w16cid:durableId="1509637720">
    <w:abstractNumId w:val="45"/>
  </w:num>
  <w:num w:numId="7" w16cid:durableId="1173452545">
    <w:abstractNumId w:val="7"/>
  </w:num>
  <w:num w:numId="8" w16cid:durableId="1219433083">
    <w:abstractNumId w:val="31"/>
  </w:num>
  <w:num w:numId="9" w16cid:durableId="2113233326">
    <w:abstractNumId w:val="26"/>
  </w:num>
  <w:num w:numId="10" w16cid:durableId="1980572437">
    <w:abstractNumId w:val="12"/>
  </w:num>
  <w:num w:numId="11" w16cid:durableId="694308873">
    <w:abstractNumId w:val="19"/>
  </w:num>
  <w:num w:numId="12" w16cid:durableId="393361137">
    <w:abstractNumId w:val="18"/>
  </w:num>
  <w:num w:numId="13" w16cid:durableId="1108625431">
    <w:abstractNumId w:val="1"/>
  </w:num>
  <w:num w:numId="14" w16cid:durableId="206843155">
    <w:abstractNumId w:val="50"/>
  </w:num>
  <w:num w:numId="15" w16cid:durableId="895630124">
    <w:abstractNumId w:val="56"/>
  </w:num>
  <w:num w:numId="16" w16cid:durableId="169830205">
    <w:abstractNumId w:val="34"/>
  </w:num>
  <w:num w:numId="17" w16cid:durableId="1580401620">
    <w:abstractNumId w:val="47"/>
  </w:num>
  <w:num w:numId="18" w16cid:durableId="1228803476">
    <w:abstractNumId w:val="9"/>
  </w:num>
  <w:num w:numId="19" w16cid:durableId="977412964">
    <w:abstractNumId w:val="46"/>
  </w:num>
  <w:num w:numId="20" w16cid:durableId="911046728">
    <w:abstractNumId w:val="33"/>
  </w:num>
  <w:num w:numId="21" w16cid:durableId="1554079881">
    <w:abstractNumId w:val="14"/>
  </w:num>
  <w:num w:numId="22" w16cid:durableId="402989125">
    <w:abstractNumId w:val="29"/>
  </w:num>
  <w:num w:numId="23" w16cid:durableId="1982031276">
    <w:abstractNumId w:val="22"/>
  </w:num>
  <w:num w:numId="24" w16cid:durableId="1388600752">
    <w:abstractNumId w:val="36"/>
  </w:num>
  <w:num w:numId="25" w16cid:durableId="1352294513">
    <w:abstractNumId w:val="49"/>
  </w:num>
  <w:num w:numId="26" w16cid:durableId="823740337">
    <w:abstractNumId w:val="28"/>
  </w:num>
  <w:num w:numId="27" w16cid:durableId="1772041118">
    <w:abstractNumId w:val="8"/>
  </w:num>
  <w:num w:numId="28" w16cid:durableId="1330060652">
    <w:abstractNumId w:val="51"/>
  </w:num>
  <w:num w:numId="29" w16cid:durableId="398746335">
    <w:abstractNumId w:val="48"/>
  </w:num>
  <w:num w:numId="30" w16cid:durableId="1875999464">
    <w:abstractNumId w:val="23"/>
  </w:num>
  <w:num w:numId="31" w16cid:durableId="659581962">
    <w:abstractNumId w:val="54"/>
  </w:num>
  <w:num w:numId="32" w16cid:durableId="1240560044">
    <w:abstractNumId w:val="55"/>
  </w:num>
  <w:num w:numId="33" w16cid:durableId="89005769">
    <w:abstractNumId w:val="17"/>
  </w:num>
  <w:num w:numId="34" w16cid:durableId="1087725304">
    <w:abstractNumId w:val="52"/>
  </w:num>
  <w:num w:numId="35" w16cid:durableId="1043409198">
    <w:abstractNumId w:val="15"/>
  </w:num>
  <w:num w:numId="36" w16cid:durableId="753936795">
    <w:abstractNumId w:val="2"/>
  </w:num>
  <w:num w:numId="37" w16cid:durableId="654917589">
    <w:abstractNumId w:val="37"/>
  </w:num>
  <w:num w:numId="38" w16cid:durableId="243077545">
    <w:abstractNumId w:val="42"/>
  </w:num>
  <w:num w:numId="39" w16cid:durableId="496044334">
    <w:abstractNumId w:val="25"/>
  </w:num>
  <w:num w:numId="40" w16cid:durableId="754477944">
    <w:abstractNumId w:val="39"/>
  </w:num>
  <w:num w:numId="41" w16cid:durableId="2073112261">
    <w:abstractNumId w:val="27"/>
  </w:num>
  <w:num w:numId="42" w16cid:durableId="1759908588">
    <w:abstractNumId w:val="6"/>
  </w:num>
  <w:num w:numId="43" w16cid:durableId="1963686673">
    <w:abstractNumId w:val="13"/>
  </w:num>
  <w:num w:numId="44" w16cid:durableId="1762991311">
    <w:abstractNumId w:val="5"/>
  </w:num>
  <w:num w:numId="45" w16cid:durableId="1669401056">
    <w:abstractNumId w:val="44"/>
  </w:num>
  <w:num w:numId="46" w16cid:durableId="222372686">
    <w:abstractNumId w:val="20"/>
  </w:num>
  <w:num w:numId="47" w16cid:durableId="493188006">
    <w:abstractNumId w:val="21"/>
  </w:num>
  <w:num w:numId="48" w16cid:durableId="1930697153">
    <w:abstractNumId w:val="43"/>
  </w:num>
  <w:num w:numId="49" w16cid:durableId="1090469013">
    <w:abstractNumId w:val="24"/>
  </w:num>
  <w:num w:numId="50" w16cid:durableId="723287852">
    <w:abstractNumId w:val="0"/>
  </w:num>
  <w:num w:numId="51" w16cid:durableId="2082822846">
    <w:abstractNumId w:val="4"/>
  </w:num>
  <w:num w:numId="52" w16cid:durableId="769660756">
    <w:abstractNumId w:val="16"/>
  </w:num>
  <w:num w:numId="53" w16cid:durableId="1733848705">
    <w:abstractNumId w:val="10"/>
  </w:num>
  <w:num w:numId="54" w16cid:durableId="1611474551">
    <w:abstractNumId w:val="35"/>
  </w:num>
  <w:num w:numId="55" w16cid:durableId="210848288">
    <w:abstractNumId w:val="38"/>
  </w:num>
  <w:num w:numId="56" w16cid:durableId="2091078131">
    <w:abstractNumId w:val="11"/>
  </w:num>
  <w:num w:numId="57" w16cid:durableId="451679353">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B4"/>
    <w:rsid w:val="0001260D"/>
    <w:rsid w:val="000227CF"/>
    <w:rsid w:val="00023510"/>
    <w:rsid w:val="00024040"/>
    <w:rsid w:val="0002542F"/>
    <w:rsid w:val="00031EEC"/>
    <w:rsid w:val="00040523"/>
    <w:rsid w:val="00041C42"/>
    <w:rsid w:val="00044FDA"/>
    <w:rsid w:val="000517F6"/>
    <w:rsid w:val="00060B30"/>
    <w:rsid w:val="00061BF4"/>
    <w:rsid w:val="00070E27"/>
    <w:rsid w:val="00074452"/>
    <w:rsid w:val="00084012"/>
    <w:rsid w:val="000A359A"/>
    <w:rsid w:val="000A6F7B"/>
    <w:rsid w:val="000B18E6"/>
    <w:rsid w:val="000B54C7"/>
    <w:rsid w:val="000C744E"/>
    <w:rsid w:val="000D05B0"/>
    <w:rsid w:val="000E66B5"/>
    <w:rsid w:val="000F216A"/>
    <w:rsid w:val="000F3E15"/>
    <w:rsid w:val="00103728"/>
    <w:rsid w:val="00110065"/>
    <w:rsid w:val="001172E8"/>
    <w:rsid w:val="0012512C"/>
    <w:rsid w:val="001324EA"/>
    <w:rsid w:val="001428DE"/>
    <w:rsid w:val="001433B1"/>
    <w:rsid w:val="00144F54"/>
    <w:rsid w:val="00164C12"/>
    <w:rsid w:val="0017646D"/>
    <w:rsid w:val="00177277"/>
    <w:rsid w:val="00192FE1"/>
    <w:rsid w:val="00194F5D"/>
    <w:rsid w:val="001A0876"/>
    <w:rsid w:val="001A4F2D"/>
    <w:rsid w:val="001A6DF0"/>
    <w:rsid w:val="001B20A4"/>
    <w:rsid w:val="001B5C7A"/>
    <w:rsid w:val="001B6703"/>
    <w:rsid w:val="001C60E3"/>
    <w:rsid w:val="001D071F"/>
    <w:rsid w:val="001D1B2D"/>
    <w:rsid w:val="001D3648"/>
    <w:rsid w:val="001E20D8"/>
    <w:rsid w:val="0021280B"/>
    <w:rsid w:val="00221EAB"/>
    <w:rsid w:val="00222F65"/>
    <w:rsid w:val="0023612D"/>
    <w:rsid w:val="00240B10"/>
    <w:rsid w:val="00260020"/>
    <w:rsid w:val="00266840"/>
    <w:rsid w:val="00272F9D"/>
    <w:rsid w:val="00273906"/>
    <w:rsid w:val="002862FA"/>
    <w:rsid w:val="0029095A"/>
    <w:rsid w:val="002A11DB"/>
    <w:rsid w:val="002A56FD"/>
    <w:rsid w:val="002B5804"/>
    <w:rsid w:val="002D3066"/>
    <w:rsid w:val="002E3A2B"/>
    <w:rsid w:val="002E5719"/>
    <w:rsid w:val="002F49F4"/>
    <w:rsid w:val="00304515"/>
    <w:rsid w:val="00313CA4"/>
    <w:rsid w:val="00320830"/>
    <w:rsid w:val="00327D31"/>
    <w:rsid w:val="003408BF"/>
    <w:rsid w:val="003447EC"/>
    <w:rsid w:val="0037273C"/>
    <w:rsid w:val="0037424C"/>
    <w:rsid w:val="003761B4"/>
    <w:rsid w:val="00382300"/>
    <w:rsid w:val="00382354"/>
    <w:rsid w:val="00382AFD"/>
    <w:rsid w:val="0039554E"/>
    <w:rsid w:val="003A6C05"/>
    <w:rsid w:val="003B1559"/>
    <w:rsid w:val="003C21B8"/>
    <w:rsid w:val="003D3FAF"/>
    <w:rsid w:val="003E4690"/>
    <w:rsid w:val="003E7432"/>
    <w:rsid w:val="003E7F76"/>
    <w:rsid w:val="003F4AA6"/>
    <w:rsid w:val="0040134C"/>
    <w:rsid w:val="00413373"/>
    <w:rsid w:val="00415AEB"/>
    <w:rsid w:val="00421891"/>
    <w:rsid w:val="00432E33"/>
    <w:rsid w:val="00440C2B"/>
    <w:rsid w:val="00446AA2"/>
    <w:rsid w:val="00464DBE"/>
    <w:rsid w:val="00486E38"/>
    <w:rsid w:val="004A4D3D"/>
    <w:rsid w:val="004A6E5B"/>
    <w:rsid w:val="004A6EBB"/>
    <w:rsid w:val="004B6116"/>
    <w:rsid w:val="004D01AB"/>
    <w:rsid w:val="004D083A"/>
    <w:rsid w:val="004F28AB"/>
    <w:rsid w:val="005021BC"/>
    <w:rsid w:val="00502D7C"/>
    <w:rsid w:val="00504615"/>
    <w:rsid w:val="00523ED0"/>
    <w:rsid w:val="00527C7D"/>
    <w:rsid w:val="005471F6"/>
    <w:rsid w:val="00550FD1"/>
    <w:rsid w:val="005777D9"/>
    <w:rsid w:val="005828A9"/>
    <w:rsid w:val="005A2B97"/>
    <w:rsid w:val="005B051B"/>
    <w:rsid w:val="005B4710"/>
    <w:rsid w:val="005C05B1"/>
    <w:rsid w:val="005E0A20"/>
    <w:rsid w:val="005F4FFC"/>
    <w:rsid w:val="006166E7"/>
    <w:rsid w:val="0063728C"/>
    <w:rsid w:val="00655F42"/>
    <w:rsid w:val="00657F08"/>
    <w:rsid w:val="00675F7F"/>
    <w:rsid w:val="00684363"/>
    <w:rsid w:val="006855AE"/>
    <w:rsid w:val="006933BA"/>
    <w:rsid w:val="006951D5"/>
    <w:rsid w:val="006A3094"/>
    <w:rsid w:val="006B1F40"/>
    <w:rsid w:val="006B6010"/>
    <w:rsid w:val="006D17BA"/>
    <w:rsid w:val="006D677E"/>
    <w:rsid w:val="006E42BD"/>
    <w:rsid w:val="006E5812"/>
    <w:rsid w:val="006E597A"/>
    <w:rsid w:val="006F324A"/>
    <w:rsid w:val="006F4F7F"/>
    <w:rsid w:val="00712BA7"/>
    <w:rsid w:val="00721584"/>
    <w:rsid w:val="00724912"/>
    <w:rsid w:val="00754A38"/>
    <w:rsid w:val="00772BE2"/>
    <w:rsid w:val="00777386"/>
    <w:rsid w:val="00786CA6"/>
    <w:rsid w:val="00787437"/>
    <w:rsid w:val="0079638B"/>
    <w:rsid w:val="007B0E97"/>
    <w:rsid w:val="007B1922"/>
    <w:rsid w:val="007B507F"/>
    <w:rsid w:val="007C34FF"/>
    <w:rsid w:val="007C5A26"/>
    <w:rsid w:val="007C66DE"/>
    <w:rsid w:val="007E0C51"/>
    <w:rsid w:val="007F14C2"/>
    <w:rsid w:val="007F16D1"/>
    <w:rsid w:val="00806FC1"/>
    <w:rsid w:val="00820B06"/>
    <w:rsid w:val="00851E13"/>
    <w:rsid w:val="0085628B"/>
    <w:rsid w:val="00873151"/>
    <w:rsid w:val="00897BCE"/>
    <w:rsid w:val="008A121B"/>
    <w:rsid w:val="008A3F73"/>
    <w:rsid w:val="008B544C"/>
    <w:rsid w:val="008B77A0"/>
    <w:rsid w:val="008C5507"/>
    <w:rsid w:val="008C6DA7"/>
    <w:rsid w:val="008D2230"/>
    <w:rsid w:val="008D4D99"/>
    <w:rsid w:val="008E0ABE"/>
    <w:rsid w:val="008F2CFC"/>
    <w:rsid w:val="008F4BCD"/>
    <w:rsid w:val="008F50EE"/>
    <w:rsid w:val="009002CC"/>
    <w:rsid w:val="00900579"/>
    <w:rsid w:val="00900890"/>
    <w:rsid w:val="009009D0"/>
    <w:rsid w:val="00904D52"/>
    <w:rsid w:val="00912606"/>
    <w:rsid w:val="00914438"/>
    <w:rsid w:val="00917619"/>
    <w:rsid w:val="00921E90"/>
    <w:rsid w:val="0092474F"/>
    <w:rsid w:val="00926A21"/>
    <w:rsid w:val="00947A83"/>
    <w:rsid w:val="00961E6E"/>
    <w:rsid w:val="00964FE9"/>
    <w:rsid w:val="009821B8"/>
    <w:rsid w:val="009B4556"/>
    <w:rsid w:val="009D5796"/>
    <w:rsid w:val="009E1C03"/>
    <w:rsid w:val="009F15ED"/>
    <w:rsid w:val="00A054C6"/>
    <w:rsid w:val="00A3055F"/>
    <w:rsid w:val="00A371AE"/>
    <w:rsid w:val="00A41850"/>
    <w:rsid w:val="00A52C8B"/>
    <w:rsid w:val="00A615E8"/>
    <w:rsid w:val="00A61C1F"/>
    <w:rsid w:val="00A71F02"/>
    <w:rsid w:val="00AA0242"/>
    <w:rsid w:val="00AA6F37"/>
    <w:rsid w:val="00AA7554"/>
    <w:rsid w:val="00AB099D"/>
    <w:rsid w:val="00AB6863"/>
    <w:rsid w:val="00AC1D39"/>
    <w:rsid w:val="00AC6C7F"/>
    <w:rsid w:val="00AE44FE"/>
    <w:rsid w:val="00AE704C"/>
    <w:rsid w:val="00AF07A3"/>
    <w:rsid w:val="00AF2321"/>
    <w:rsid w:val="00AF5B19"/>
    <w:rsid w:val="00B0207F"/>
    <w:rsid w:val="00B05D23"/>
    <w:rsid w:val="00B13896"/>
    <w:rsid w:val="00B51CB9"/>
    <w:rsid w:val="00B550DB"/>
    <w:rsid w:val="00B5778D"/>
    <w:rsid w:val="00B66101"/>
    <w:rsid w:val="00B81BC2"/>
    <w:rsid w:val="00B86275"/>
    <w:rsid w:val="00BA32D7"/>
    <w:rsid w:val="00BB0442"/>
    <w:rsid w:val="00BE5E72"/>
    <w:rsid w:val="00C00A8A"/>
    <w:rsid w:val="00C05513"/>
    <w:rsid w:val="00C36EAA"/>
    <w:rsid w:val="00C413D8"/>
    <w:rsid w:val="00C516FA"/>
    <w:rsid w:val="00C55C4C"/>
    <w:rsid w:val="00C70B97"/>
    <w:rsid w:val="00C802E7"/>
    <w:rsid w:val="00C8052B"/>
    <w:rsid w:val="00C80D4E"/>
    <w:rsid w:val="00C9230D"/>
    <w:rsid w:val="00C93776"/>
    <w:rsid w:val="00C96F01"/>
    <w:rsid w:val="00CA21E5"/>
    <w:rsid w:val="00CC396B"/>
    <w:rsid w:val="00CC76A0"/>
    <w:rsid w:val="00CD2A79"/>
    <w:rsid w:val="00CE5E03"/>
    <w:rsid w:val="00D00836"/>
    <w:rsid w:val="00D06281"/>
    <w:rsid w:val="00D07A2C"/>
    <w:rsid w:val="00D20E7E"/>
    <w:rsid w:val="00D40571"/>
    <w:rsid w:val="00D51D4A"/>
    <w:rsid w:val="00D577A1"/>
    <w:rsid w:val="00D6329E"/>
    <w:rsid w:val="00D749B2"/>
    <w:rsid w:val="00D7734C"/>
    <w:rsid w:val="00D93F15"/>
    <w:rsid w:val="00DA0862"/>
    <w:rsid w:val="00DA0A41"/>
    <w:rsid w:val="00DA2BB5"/>
    <w:rsid w:val="00DA514E"/>
    <w:rsid w:val="00DC0CB6"/>
    <w:rsid w:val="00DC4497"/>
    <w:rsid w:val="00DC59E0"/>
    <w:rsid w:val="00DD0837"/>
    <w:rsid w:val="00DD1BF5"/>
    <w:rsid w:val="00E06B2A"/>
    <w:rsid w:val="00E129A4"/>
    <w:rsid w:val="00E17E15"/>
    <w:rsid w:val="00E22A01"/>
    <w:rsid w:val="00E24318"/>
    <w:rsid w:val="00E2648E"/>
    <w:rsid w:val="00E325F9"/>
    <w:rsid w:val="00E46DC9"/>
    <w:rsid w:val="00E60120"/>
    <w:rsid w:val="00E66A52"/>
    <w:rsid w:val="00E70409"/>
    <w:rsid w:val="00E87362"/>
    <w:rsid w:val="00E93894"/>
    <w:rsid w:val="00E94985"/>
    <w:rsid w:val="00EA0289"/>
    <w:rsid w:val="00EA3922"/>
    <w:rsid w:val="00EB1784"/>
    <w:rsid w:val="00EB58E9"/>
    <w:rsid w:val="00EB775C"/>
    <w:rsid w:val="00EC33A9"/>
    <w:rsid w:val="00ED61A5"/>
    <w:rsid w:val="00EF6FBC"/>
    <w:rsid w:val="00F00D1D"/>
    <w:rsid w:val="00F03E1C"/>
    <w:rsid w:val="00F0431E"/>
    <w:rsid w:val="00F07193"/>
    <w:rsid w:val="00F13FB8"/>
    <w:rsid w:val="00F17A60"/>
    <w:rsid w:val="00F24082"/>
    <w:rsid w:val="00F243B8"/>
    <w:rsid w:val="00F4159F"/>
    <w:rsid w:val="00F45459"/>
    <w:rsid w:val="00F53A59"/>
    <w:rsid w:val="00F65776"/>
    <w:rsid w:val="00F74CA6"/>
    <w:rsid w:val="00F761FA"/>
    <w:rsid w:val="00F87715"/>
    <w:rsid w:val="00FA329E"/>
    <w:rsid w:val="00FA5C03"/>
    <w:rsid w:val="00FB141E"/>
    <w:rsid w:val="00FD7312"/>
    <w:rsid w:val="00FE1ECB"/>
    <w:rsid w:val="00FE25DF"/>
    <w:rsid w:val="00FE4103"/>
    <w:rsid w:val="00FE6C2F"/>
    <w:rsid w:val="00FE731B"/>
    <w:rsid w:val="00FF4D43"/>
    <w:rsid w:val="00FF7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30C2"/>
  <w15:chartTrackingRefBased/>
  <w15:docId w15:val="{4F747F3C-7022-43D2-A6C1-6AA862C0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B4"/>
    <w:rPr>
      <w:rFonts w:eastAsiaTheme="majorEastAsia" w:cstheme="majorBidi"/>
      <w:color w:val="272727" w:themeColor="text1" w:themeTint="D8"/>
    </w:rPr>
  </w:style>
  <w:style w:type="paragraph" w:styleId="Title">
    <w:name w:val="Title"/>
    <w:basedOn w:val="Normal"/>
    <w:next w:val="Normal"/>
    <w:link w:val="TitleChar"/>
    <w:uiPriority w:val="10"/>
    <w:qFormat/>
    <w:rsid w:val="00376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B4"/>
    <w:pPr>
      <w:spacing w:before="160"/>
      <w:jc w:val="center"/>
    </w:pPr>
    <w:rPr>
      <w:i/>
      <w:iCs/>
      <w:color w:val="404040" w:themeColor="text1" w:themeTint="BF"/>
    </w:rPr>
  </w:style>
  <w:style w:type="character" w:customStyle="1" w:styleId="QuoteChar">
    <w:name w:val="Quote Char"/>
    <w:basedOn w:val="DefaultParagraphFont"/>
    <w:link w:val="Quote"/>
    <w:uiPriority w:val="29"/>
    <w:rsid w:val="003761B4"/>
    <w:rPr>
      <w:i/>
      <w:iCs/>
      <w:color w:val="404040" w:themeColor="text1" w:themeTint="BF"/>
    </w:rPr>
  </w:style>
  <w:style w:type="paragraph" w:styleId="ListParagraph">
    <w:name w:val="List Paragraph"/>
    <w:basedOn w:val="Normal"/>
    <w:uiPriority w:val="34"/>
    <w:qFormat/>
    <w:rsid w:val="003761B4"/>
    <w:pPr>
      <w:ind w:left="720"/>
      <w:contextualSpacing/>
    </w:pPr>
  </w:style>
  <w:style w:type="character" w:styleId="IntenseEmphasis">
    <w:name w:val="Intense Emphasis"/>
    <w:basedOn w:val="DefaultParagraphFont"/>
    <w:uiPriority w:val="21"/>
    <w:qFormat/>
    <w:rsid w:val="003761B4"/>
    <w:rPr>
      <w:i/>
      <w:iCs/>
      <w:color w:val="0F4761" w:themeColor="accent1" w:themeShade="BF"/>
    </w:rPr>
  </w:style>
  <w:style w:type="paragraph" w:styleId="IntenseQuote">
    <w:name w:val="Intense Quote"/>
    <w:basedOn w:val="Normal"/>
    <w:next w:val="Normal"/>
    <w:link w:val="IntenseQuoteChar"/>
    <w:uiPriority w:val="30"/>
    <w:qFormat/>
    <w:rsid w:val="00376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B4"/>
    <w:rPr>
      <w:i/>
      <w:iCs/>
      <w:color w:val="0F4761" w:themeColor="accent1" w:themeShade="BF"/>
    </w:rPr>
  </w:style>
  <w:style w:type="character" w:styleId="IntenseReference">
    <w:name w:val="Intense Reference"/>
    <w:basedOn w:val="DefaultParagraphFont"/>
    <w:uiPriority w:val="32"/>
    <w:qFormat/>
    <w:rsid w:val="003761B4"/>
    <w:rPr>
      <w:b/>
      <w:bCs/>
      <w:smallCaps/>
      <w:color w:val="0F4761" w:themeColor="accent1" w:themeShade="BF"/>
      <w:spacing w:val="5"/>
    </w:rPr>
  </w:style>
  <w:style w:type="table" w:styleId="TableGrid">
    <w:name w:val="Table Grid"/>
    <w:basedOn w:val="TableNormal"/>
    <w:uiPriority w:val="59"/>
    <w:rsid w:val="00221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30D"/>
  </w:style>
  <w:style w:type="paragraph" w:styleId="Footer">
    <w:name w:val="footer"/>
    <w:basedOn w:val="Normal"/>
    <w:link w:val="FooterChar"/>
    <w:uiPriority w:val="99"/>
    <w:unhideWhenUsed/>
    <w:rsid w:val="00C92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30D"/>
  </w:style>
  <w:style w:type="character" w:styleId="Hyperlink">
    <w:name w:val="Hyperlink"/>
    <w:basedOn w:val="DefaultParagraphFont"/>
    <w:uiPriority w:val="99"/>
    <w:unhideWhenUsed/>
    <w:rsid w:val="008F2CFC"/>
    <w:rPr>
      <w:color w:val="467886" w:themeColor="hyperlink"/>
      <w:u w:val="single"/>
    </w:rPr>
  </w:style>
  <w:style w:type="character" w:styleId="UnresolvedMention">
    <w:name w:val="Unresolved Mention"/>
    <w:basedOn w:val="DefaultParagraphFont"/>
    <w:uiPriority w:val="99"/>
    <w:semiHidden/>
    <w:unhideWhenUsed/>
    <w:rsid w:val="008F2CFC"/>
    <w:rPr>
      <w:color w:val="605E5C"/>
      <w:shd w:val="clear" w:color="auto" w:fill="E1DFDD"/>
    </w:rPr>
  </w:style>
  <w:style w:type="paragraph" w:styleId="TOC1">
    <w:name w:val="toc 1"/>
    <w:basedOn w:val="Normal"/>
    <w:next w:val="Normal"/>
    <w:autoRedefine/>
    <w:uiPriority w:val="39"/>
    <w:unhideWhenUsed/>
    <w:rsid w:val="006933BA"/>
    <w:pPr>
      <w:spacing w:before="120" w:after="0"/>
    </w:pPr>
    <w:rPr>
      <w:rFonts w:cstheme="minorHAnsi"/>
      <w:b/>
      <w:bCs/>
      <w:i/>
      <w:iCs/>
    </w:rPr>
  </w:style>
  <w:style w:type="paragraph" w:styleId="TOC2">
    <w:name w:val="toc 2"/>
    <w:basedOn w:val="Normal"/>
    <w:next w:val="Normal"/>
    <w:autoRedefine/>
    <w:uiPriority w:val="39"/>
    <w:unhideWhenUsed/>
    <w:rsid w:val="006933BA"/>
    <w:pPr>
      <w:spacing w:before="120" w:after="0"/>
      <w:ind w:left="240"/>
    </w:pPr>
    <w:rPr>
      <w:rFonts w:cstheme="min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3060">
      <w:bodyDiv w:val="1"/>
      <w:marLeft w:val="0"/>
      <w:marRight w:val="0"/>
      <w:marTop w:val="0"/>
      <w:marBottom w:val="0"/>
      <w:divBdr>
        <w:top w:val="none" w:sz="0" w:space="0" w:color="auto"/>
        <w:left w:val="none" w:sz="0" w:space="0" w:color="auto"/>
        <w:bottom w:val="none" w:sz="0" w:space="0" w:color="auto"/>
        <w:right w:val="none" w:sz="0" w:space="0" w:color="auto"/>
      </w:divBdr>
    </w:div>
    <w:div w:id="38558609">
      <w:bodyDiv w:val="1"/>
      <w:marLeft w:val="0"/>
      <w:marRight w:val="0"/>
      <w:marTop w:val="0"/>
      <w:marBottom w:val="0"/>
      <w:divBdr>
        <w:top w:val="none" w:sz="0" w:space="0" w:color="auto"/>
        <w:left w:val="none" w:sz="0" w:space="0" w:color="auto"/>
        <w:bottom w:val="none" w:sz="0" w:space="0" w:color="auto"/>
        <w:right w:val="none" w:sz="0" w:space="0" w:color="auto"/>
      </w:divBdr>
    </w:div>
    <w:div w:id="214850496">
      <w:bodyDiv w:val="1"/>
      <w:marLeft w:val="0"/>
      <w:marRight w:val="0"/>
      <w:marTop w:val="0"/>
      <w:marBottom w:val="0"/>
      <w:divBdr>
        <w:top w:val="none" w:sz="0" w:space="0" w:color="auto"/>
        <w:left w:val="none" w:sz="0" w:space="0" w:color="auto"/>
        <w:bottom w:val="none" w:sz="0" w:space="0" w:color="auto"/>
        <w:right w:val="none" w:sz="0" w:space="0" w:color="auto"/>
      </w:divBdr>
    </w:div>
    <w:div w:id="305478717">
      <w:bodyDiv w:val="1"/>
      <w:marLeft w:val="0"/>
      <w:marRight w:val="0"/>
      <w:marTop w:val="0"/>
      <w:marBottom w:val="0"/>
      <w:divBdr>
        <w:top w:val="none" w:sz="0" w:space="0" w:color="auto"/>
        <w:left w:val="none" w:sz="0" w:space="0" w:color="auto"/>
        <w:bottom w:val="none" w:sz="0" w:space="0" w:color="auto"/>
        <w:right w:val="none" w:sz="0" w:space="0" w:color="auto"/>
      </w:divBdr>
    </w:div>
    <w:div w:id="413090201">
      <w:bodyDiv w:val="1"/>
      <w:marLeft w:val="0"/>
      <w:marRight w:val="0"/>
      <w:marTop w:val="0"/>
      <w:marBottom w:val="0"/>
      <w:divBdr>
        <w:top w:val="none" w:sz="0" w:space="0" w:color="auto"/>
        <w:left w:val="none" w:sz="0" w:space="0" w:color="auto"/>
        <w:bottom w:val="none" w:sz="0" w:space="0" w:color="auto"/>
        <w:right w:val="none" w:sz="0" w:space="0" w:color="auto"/>
      </w:divBdr>
    </w:div>
    <w:div w:id="534391120">
      <w:bodyDiv w:val="1"/>
      <w:marLeft w:val="0"/>
      <w:marRight w:val="0"/>
      <w:marTop w:val="0"/>
      <w:marBottom w:val="0"/>
      <w:divBdr>
        <w:top w:val="none" w:sz="0" w:space="0" w:color="auto"/>
        <w:left w:val="none" w:sz="0" w:space="0" w:color="auto"/>
        <w:bottom w:val="none" w:sz="0" w:space="0" w:color="auto"/>
        <w:right w:val="none" w:sz="0" w:space="0" w:color="auto"/>
      </w:divBdr>
    </w:div>
    <w:div w:id="566497790">
      <w:bodyDiv w:val="1"/>
      <w:marLeft w:val="0"/>
      <w:marRight w:val="0"/>
      <w:marTop w:val="0"/>
      <w:marBottom w:val="0"/>
      <w:divBdr>
        <w:top w:val="none" w:sz="0" w:space="0" w:color="auto"/>
        <w:left w:val="none" w:sz="0" w:space="0" w:color="auto"/>
        <w:bottom w:val="none" w:sz="0" w:space="0" w:color="auto"/>
        <w:right w:val="none" w:sz="0" w:space="0" w:color="auto"/>
      </w:divBdr>
    </w:div>
    <w:div w:id="643200403">
      <w:bodyDiv w:val="1"/>
      <w:marLeft w:val="0"/>
      <w:marRight w:val="0"/>
      <w:marTop w:val="0"/>
      <w:marBottom w:val="0"/>
      <w:divBdr>
        <w:top w:val="none" w:sz="0" w:space="0" w:color="auto"/>
        <w:left w:val="none" w:sz="0" w:space="0" w:color="auto"/>
        <w:bottom w:val="none" w:sz="0" w:space="0" w:color="auto"/>
        <w:right w:val="none" w:sz="0" w:space="0" w:color="auto"/>
      </w:divBdr>
    </w:div>
    <w:div w:id="684214108">
      <w:bodyDiv w:val="1"/>
      <w:marLeft w:val="0"/>
      <w:marRight w:val="0"/>
      <w:marTop w:val="0"/>
      <w:marBottom w:val="0"/>
      <w:divBdr>
        <w:top w:val="none" w:sz="0" w:space="0" w:color="auto"/>
        <w:left w:val="none" w:sz="0" w:space="0" w:color="auto"/>
        <w:bottom w:val="none" w:sz="0" w:space="0" w:color="auto"/>
        <w:right w:val="none" w:sz="0" w:space="0" w:color="auto"/>
      </w:divBdr>
    </w:div>
    <w:div w:id="695473076">
      <w:bodyDiv w:val="1"/>
      <w:marLeft w:val="0"/>
      <w:marRight w:val="0"/>
      <w:marTop w:val="0"/>
      <w:marBottom w:val="0"/>
      <w:divBdr>
        <w:top w:val="none" w:sz="0" w:space="0" w:color="auto"/>
        <w:left w:val="none" w:sz="0" w:space="0" w:color="auto"/>
        <w:bottom w:val="none" w:sz="0" w:space="0" w:color="auto"/>
        <w:right w:val="none" w:sz="0" w:space="0" w:color="auto"/>
      </w:divBdr>
    </w:div>
    <w:div w:id="754667982">
      <w:bodyDiv w:val="1"/>
      <w:marLeft w:val="0"/>
      <w:marRight w:val="0"/>
      <w:marTop w:val="0"/>
      <w:marBottom w:val="0"/>
      <w:divBdr>
        <w:top w:val="none" w:sz="0" w:space="0" w:color="auto"/>
        <w:left w:val="none" w:sz="0" w:space="0" w:color="auto"/>
        <w:bottom w:val="none" w:sz="0" w:space="0" w:color="auto"/>
        <w:right w:val="none" w:sz="0" w:space="0" w:color="auto"/>
      </w:divBdr>
    </w:div>
    <w:div w:id="827601580">
      <w:bodyDiv w:val="1"/>
      <w:marLeft w:val="0"/>
      <w:marRight w:val="0"/>
      <w:marTop w:val="0"/>
      <w:marBottom w:val="0"/>
      <w:divBdr>
        <w:top w:val="none" w:sz="0" w:space="0" w:color="auto"/>
        <w:left w:val="none" w:sz="0" w:space="0" w:color="auto"/>
        <w:bottom w:val="none" w:sz="0" w:space="0" w:color="auto"/>
        <w:right w:val="none" w:sz="0" w:space="0" w:color="auto"/>
      </w:divBdr>
    </w:div>
    <w:div w:id="871193081">
      <w:bodyDiv w:val="1"/>
      <w:marLeft w:val="0"/>
      <w:marRight w:val="0"/>
      <w:marTop w:val="0"/>
      <w:marBottom w:val="0"/>
      <w:divBdr>
        <w:top w:val="none" w:sz="0" w:space="0" w:color="auto"/>
        <w:left w:val="none" w:sz="0" w:space="0" w:color="auto"/>
        <w:bottom w:val="none" w:sz="0" w:space="0" w:color="auto"/>
        <w:right w:val="none" w:sz="0" w:space="0" w:color="auto"/>
      </w:divBdr>
    </w:div>
    <w:div w:id="1037774977">
      <w:bodyDiv w:val="1"/>
      <w:marLeft w:val="0"/>
      <w:marRight w:val="0"/>
      <w:marTop w:val="0"/>
      <w:marBottom w:val="0"/>
      <w:divBdr>
        <w:top w:val="none" w:sz="0" w:space="0" w:color="auto"/>
        <w:left w:val="none" w:sz="0" w:space="0" w:color="auto"/>
        <w:bottom w:val="none" w:sz="0" w:space="0" w:color="auto"/>
        <w:right w:val="none" w:sz="0" w:space="0" w:color="auto"/>
      </w:divBdr>
    </w:div>
    <w:div w:id="1077896967">
      <w:bodyDiv w:val="1"/>
      <w:marLeft w:val="0"/>
      <w:marRight w:val="0"/>
      <w:marTop w:val="0"/>
      <w:marBottom w:val="0"/>
      <w:divBdr>
        <w:top w:val="none" w:sz="0" w:space="0" w:color="auto"/>
        <w:left w:val="none" w:sz="0" w:space="0" w:color="auto"/>
        <w:bottom w:val="none" w:sz="0" w:space="0" w:color="auto"/>
        <w:right w:val="none" w:sz="0" w:space="0" w:color="auto"/>
      </w:divBdr>
    </w:div>
    <w:div w:id="1323966756">
      <w:bodyDiv w:val="1"/>
      <w:marLeft w:val="0"/>
      <w:marRight w:val="0"/>
      <w:marTop w:val="0"/>
      <w:marBottom w:val="0"/>
      <w:divBdr>
        <w:top w:val="none" w:sz="0" w:space="0" w:color="auto"/>
        <w:left w:val="none" w:sz="0" w:space="0" w:color="auto"/>
        <w:bottom w:val="none" w:sz="0" w:space="0" w:color="auto"/>
        <w:right w:val="none" w:sz="0" w:space="0" w:color="auto"/>
      </w:divBdr>
    </w:div>
    <w:div w:id="1435243914">
      <w:bodyDiv w:val="1"/>
      <w:marLeft w:val="0"/>
      <w:marRight w:val="0"/>
      <w:marTop w:val="0"/>
      <w:marBottom w:val="0"/>
      <w:divBdr>
        <w:top w:val="none" w:sz="0" w:space="0" w:color="auto"/>
        <w:left w:val="none" w:sz="0" w:space="0" w:color="auto"/>
        <w:bottom w:val="none" w:sz="0" w:space="0" w:color="auto"/>
        <w:right w:val="none" w:sz="0" w:space="0" w:color="auto"/>
      </w:divBdr>
    </w:div>
    <w:div w:id="1445034424">
      <w:bodyDiv w:val="1"/>
      <w:marLeft w:val="0"/>
      <w:marRight w:val="0"/>
      <w:marTop w:val="0"/>
      <w:marBottom w:val="0"/>
      <w:divBdr>
        <w:top w:val="none" w:sz="0" w:space="0" w:color="auto"/>
        <w:left w:val="none" w:sz="0" w:space="0" w:color="auto"/>
        <w:bottom w:val="none" w:sz="0" w:space="0" w:color="auto"/>
        <w:right w:val="none" w:sz="0" w:space="0" w:color="auto"/>
      </w:divBdr>
    </w:div>
    <w:div w:id="1506940557">
      <w:bodyDiv w:val="1"/>
      <w:marLeft w:val="0"/>
      <w:marRight w:val="0"/>
      <w:marTop w:val="0"/>
      <w:marBottom w:val="0"/>
      <w:divBdr>
        <w:top w:val="none" w:sz="0" w:space="0" w:color="auto"/>
        <w:left w:val="none" w:sz="0" w:space="0" w:color="auto"/>
        <w:bottom w:val="none" w:sz="0" w:space="0" w:color="auto"/>
        <w:right w:val="none" w:sz="0" w:space="0" w:color="auto"/>
      </w:divBdr>
    </w:div>
    <w:div w:id="1767921621">
      <w:bodyDiv w:val="1"/>
      <w:marLeft w:val="0"/>
      <w:marRight w:val="0"/>
      <w:marTop w:val="0"/>
      <w:marBottom w:val="0"/>
      <w:divBdr>
        <w:top w:val="none" w:sz="0" w:space="0" w:color="auto"/>
        <w:left w:val="none" w:sz="0" w:space="0" w:color="auto"/>
        <w:bottom w:val="none" w:sz="0" w:space="0" w:color="auto"/>
        <w:right w:val="none" w:sz="0" w:space="0" w:color="auto"/>
      </w:divBdr>
    </w:div>
    <w:div w:id="1787919074">
      <w:bodyDiv w:val="1"/>
      <w:marLeft w:val="0"/>
      <w:marRight w:val="0"/>
      <w:marTop w:val="0"/>
      <w:marBottom w:val="0"/>
      <w:divBdr>
        <w:top w:val="none" w:sz="0" w:space="0" w:color="auto"/>
        <w:left w:val="none" w:sz="0" w:space="0" w:color="auto"/>
        <w:bottom w:val="none" w:sz="0" w:space="0" w:color="auto"/>
        <w:right w:val="none" w:sz="0" w:space="0" w:color="auto"/>
      </w:divBdr>
    </w:div>
    <w:div w:id="1866169186">
      <w:bodyDiv w:val="1"/>
      <w:marLeft w:val="0"/>
      <w:marRight w:val="0"/>
      <w:marTop w:val="0"/>
      <w:marBottom w:val="0"/>
      <w:divBdr>
        <w:top w:val="none" w:sz="0" w:space="0" w:color="auto"/>
        <w:left w:val="none" w:sz="0" w:space="0" w:color="auto"/>
        <w:bottom w:val="none" w:sz="0" w:space="0" w:color="auto"/>
        <w:right w:val="none" w:sz="0" w:space="0" w:color="auto"/>
      </w:divBdr>
    </w:div>
    <w:div w:id="207161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bout.bnef.com/electric-vehicle-outl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6530</Words>
  <Characters>37227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Dumebi Konwea</dc:creator>
  <cp:keywords/>
  <dc:description/>
  <cp:lastModifiedBy>Dumebi Konwea</cp:lastModifiedBy>
  <cp:revision>2</cp:revision>
  <dcterms:created xsi:type="dcterms:W3CDTF">2025-07-08T12:34:00Z</dcterms:created>
  <dcterms:modified xsi:type="dcterms:W3CDTF">2025-07-08T12:34:00Z</dcterms:modified>
</cp:coreProperties>
</file>