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B3FA2" w14:textId="3E0369BD" w:rsidR="00F07FE0" w:rsidRPr="004B05AE" w:rsidRDefault="00F07FE0" w:rsidP="00F07FE0">
      <w:pPr>
        <w:rPr>
          <w:rFonts w:cs="Arial"/>
          <w:b/>
          <w:caps/>
          <w:color w:val="006600"/>
          <w:sz w:val="40"/>
          <w:szCs w:val="40"/>
        </w:rPr>
      </w:pPr>
      <w:r w:rsidRPr="004B05AE">
        <w:rPr>
          <w:rFonts w:cs="Arial"/>
          <w:b/>
          <w:caps/>
          <w:color w:val="006600"/>
          <w:sz w:val="40"/>
          <w:szCs w:val="40"/>
        </w:rPr>
        <w:t>Assessment Brief</w:t>
      </w:r>
    </w:p>
    <w:p w14:paraId="2784EB31" w14:textId="77777777" w:rsidR="00F07FE0" w:rsidRPr="004B05AE" w:rsidRDefault="00F07FE0" w:rsidP="00F07FE0">
      <w:pPr>
        <w:rPr>
          <w:rFonts w:cs="Arial"/>
          <w:b/>
          <w:color w:val="006600"/>
          <w:sz w:val="26"/>
          <w:szCs w:val="26"/>
        </w:rPr>
      </w:pPr>
    </w:p>
    <w:tbl>
      <w:tblPr>
        <w:tblStyle w:val="TableGrid"/>
        <w:tblW w:w="9962" w:type="dxa"/>
        <w:tblLook w:val="04A0" w:firstRow="1" w:lastRow="0" w:firstColumn="1" w:lastColumn="0" w:noHBand="0" w:noVBand="1"/>
      </w:tblPr>
      <w:tblGrid>
        <w:gridCol w:w="3397"/>
        <w:gridCol w:w="6565"/>
      </w:tblGrid>
      <w:tr w:rsidR="0058716B" w:rsidRPr="008D291E" w14:paraId="1D122051" w14:textId="77777777" w:rsidTr="00563C51">
        <w:tc>
          <w:tcPr>
            <w:tcW w:w="3397" w:type="dxa"/>
            <w:shd w:val="clear" w:color="auto" w:fill="EDEDED" w:themeFill="accent3" w:themeFillTint="33"/>
          </w:tcPr>
          <w:p w14:paraId="271DAEC1" w14:textId="77777777" w:rsidR="0058716B" w:rsidRPr="008D291E" w:rsidRDefault="0058716B" w:rsidP="00563C51">
            <w:pPr>
              <w:spacing w:before="120" w:after="120"/>
              <w:rPr>
                <w:rFonts w:cs="Arial"/>
                <w:b/>
                <w:szCs w:val="22"/>
              </w:rPr>
            </w:pPr>
            <w:r w:rsidRPr="008D291E">
              <w:rPr>
                <w:rFonts w:cs="Arial"/>
                <w:b/>
                <w:szCs w:val="22"/>
              </w:rPr>
              <w:t>Academic year and term:</w:t>
            </w:r>
          </w:p>
        </w:tc>
        <w:tc>
          <w:tcPr>
            <w:tcW w:w="6565" w:type="dxa"/>
          </w:tcPr>
          <w:p w14:paraId="38C5F343" w14:textId="77777777" w:rsidR="0058716B" w:rsidRPr="004B05AE" w:rsidRDefault="0058716B" w:rsidP="00563C51">
            <w:pPr>
              <w:spacing w:before="120" w:after="120"/>
              <w:rPr>
                <w:rFonts w:cs="Arial"/>
                <w:szCs w:val="22"/>
              </w:rPr>
            </w:pPr>
            <w:r w:rsidRPr="00B57467">
              <w:rPr>
                <w:szCs w:val="24"/>
              </w:rPr>
              <w:t>20</w:t>
            </w:r>
            <w:r>
              <w:rPr>
                <w:szCs w:val="24"/>
              </w:rPr>
              <w:t>24/25</w:t>
            </w:r>
          </w:p>
        </w:tc>
      </w:tr>
      <w:tr w:rsidR="0058716B" w:rsidRPr="008D291E" w14:paraId="79F49618" w14:textId="77777777" w:rsidTr="00563C51">
        <w:tc>
          <w:tcPr>
            <w:tcW w:w="3397" w:type="dxa"/>
            <w:shd w:val="clear" w:color="auto" w:fill="EDEDED" w:themeFill="accent3" w:themeFillTint="33"/>
          </w:tcPr>
          <w:p w14:paraId="5B6E8822" w14:textId="77777777" w:rsidR="0058716B" w:rsidRPr="008D291E" w:rsidRDefault="0058716B" w:rsidP="00563C51">
            <w:pPr>
              <w:spacing w:before="120" w:after="120"/>
              <w:rPr>
                <w:rFonts w:cs="Arial"/>
                <w:b/>
                <w:szCs w:val="22"/>
              </w:rPr>
            </w:pPr>
            <w:r w:rsidRPr="008D291E">
              <w:rPr>
                <w:rFonts w:cs="Arial"/>
                <w:b/>
                <w:szCs w:val="22"/>
              </w:rPr>
              <w:t>Module title:</w:t>
            </w:r>
          </w:p>
        </w:tc>
        <w:tc>
          <w:tcPr>
            <w:tcW w:w="6565" w:type="dxa"/>
          </w:tcPr>
          <w:p w14:paraId="3A696FD8" w14:textId="77777777" w:rsidR="0058716B" w:rsidRPr="008D291E" w:rsidRDefault="0058716B" w:rsidP="00563C51">
            <w:pPr>
              <w:spacing w:before="120" w:after="120"/>
              <w:rPr>
                <w:rFonts w:cs="Arial"/>
                <w:b/>
                <w:szCs w:val="22"/>
              </w:rPr>
            </w:pPr>
            <w:r w:rsidRPr="00A06E0C">
              <w:rPr>
                <w:rFonts w:eastAsia="Arial" w:cs="Arial"/>
                <w:bCs/>
                <w:spacing w:val="-1"/>
                <w:szCs w:val="24"/>
                <w:lang w:val="en-US"/>
              </w:rPr>
              <w:t>Strategic Investment Appraisal</w:t>
            </w:r>
          </w:p>
        </w:tc>
      </w:tr>
      <w:tr w:rsidR="0058716B" w:rsidRPr="008D291E" w14:paraId="25D98916" w14:textId="77777777" w:rsidTr="00563C51">
        <w:trPr>
          <w:trHeight w:val="419"/>
        </w:trPr>
        <w:tc>
          <w:tcPr>
            <w:tcW w:w="3397" w:type="dxa"/>
            <w:shd w:val="clear" w:color="auto" w:fill="EDEDED" w:themeFill="accent3" w:themeFillTint="33"/>
          </w:tcPr>
          <w:p w14:paraId="372F14C0" w14:textId="77777777" w:rsidR="0058716B" w:rsidRPr="008D291E" w:rsidRDefault="0058716B" w:rsidP="00563C51">
            <w:pPr>
              <w:spacing w:before="120" w:after="120"/>
              <w:rPr>
                <w:rFonts w:cs="Arial"/>
                <w:b/>
                <w:szCs w:val="22"/>
              </w:rPr>
            </w:pPr>
            <w:r>
              <w:rPr>
                <w:rFonts w:cs="Arial"/>
                <w:b/>
                <w:szCs w:val="22"/>
              </w:rPr>
              <w:t>Type of assessment:</w:t>
            </w:r>
          </w:p>
        </w:tc>
        <w:tc>
          <w:tcPr>
            <w:tcW w:w="6565" w:type="dxa"/>
          </w:tcPr>
          <w:p w14:paraId="243BD14F" w14:textId="77777777" w:rsidR="0058716B" w:rsidRPr="007E31A3" w:rsidRDefault="0058716B" w:rsidP="00563C51">
            <w:pPr>
              <w:spacing w:before="120" w:after="120"/>
            </w:pPr>
            <w:r>
              <w:t>Project appraisal report</w:t>
            </w:r>
          </w:p>
        </w:tc>
      </w:tr>
      <w:tr w:rsidR="0058716B" w:rsidRPr="008D291E" w14:paraId="6A1AC6A0" w14:textId="77777777" w:rsidTr="00563C51">
        <w:trPr>
          <w:trHeight w:val="512"/>
        </w:trPr>
        <w:tc>
          <w:tcPr>
            <w:tcW w:w="3397" w:type="dxa"/>
            <w:shd w:val="clear" w:color="auto" w:fill="EDEDED" w:themeFill="accent3" w:themeFillTint="33"/>
          </w:tcPr>
          <w:p w14:paraId="256CCC1D" w14:textId="77777777" w:rsidR="0058716B" w:rsidRPr="008D291E" w:rsidRDefault="0058716B" w:rsidP="00563C51">
            <w:pPr>
              <w:spacing w:before="120" w:after="120"/>
              <w:rPr>
                <w:rFonts w:cs="Arial"/>
                <w:b/>
                <w:szCs w:val="22"/>
              </w:rPr>
            </w:pPr>
            <w:r w:rsidRPr="008D291E">
              <w:rPr>
                <w:rFonts w:cs="Arial"/>
                <w:b/>
                <w:szCs w:val="22"/>
              </w:rPr>
              <w:t>Assessment deadline:</w:t>
            </w:r>
          </w:p>
        </w:tc>
        <w:tc>
          <w:tcPr>
            <w:tcW w:w="6565" w:type="dxa"/>
          </w:tcPr>
          <w:p w14:paraId="59DF3413" w14:textId="77777777" w:rsidR="0058716B" w:rsidRDefault="0058716B" w:rsidP="00563C51">
            <w:pPr>
              <w:spacing w:before="120" w:after="120"/>
            </w:pPr>
            <w:r>
              <w:t>Formative (task 1): 18/11/24</w:t>
            </w:r>
          </w:p>
          <w:p w14:paraId="62DD97F0" w14:textId="77777777" w:rsidR="0058716B" w:rsidRPr="004B05AE" w:rsidRDefault="0058716B" w:rsidP="00563C51">
            <w:pPr>
              <w:spacing w:before="120" w:after="120"/>
              <w:rPr>
                <w:rFonts w:cs="Arial"/>
                <w:szCs w:val="22"/>
              </w:rPr>
            </w:pPr>
            <w:r>
              <w:t>Summative (project appraisal report) TBC</w:t>
            </w:r>
          </w:p>
        </w:tc>
      </w:tr>
    </w:tbl>
    <w:p w14:paraId="2042CC4E" w14:textId="77777777" w:rsidR="0058716B" w:rsidRDefault="0058716B" w:rsidP="0058716B">
      <w:pPr>
        <w:rPr>
          <w:rFonts w:cs="Arial"/>
          <w:b/>
          <w:color w:val="006600"/>
          <w:sz w:val="26"/>
          <w:szCs w:val="26"/>
        </w:rPr>
      </w:pPr>
    </w:p>
    <w:p w14:paraId="3DA4A08E" w14:textId="77777777" w:rsidR="0058716B" w:rsidRDefault="0058716B" w:rsidP="0058716B">
      <w:pPr>
        <w:rPr>
          <w:rFonts w:cs="Arial"/>
          <w:b/>
          <w:color w:val="006600"/>
          <w:sz w:val="26"/>
          <w:szCs w:val="26"/>
        </w:rPr>
      </w:pPr>
      <w:r>
        <w:rPr>
          <w:rFonts w:cs="Arial"/>
          <w:b/>
          <w:color w:val="006600"/>
          <w:sz w:val="26"/>
          <w:szCs w:val="26"/>
        </w:rPr>
        <w:t>Instructions for assessment</w:t>
      </w:r>
    </w:p>
    <w:p w14:paraId="6FB047B7" w14:textId="77777777" w:rsidR="0058716B" w:rsidRDefault="0058716B" w:rsidP="0058716B">
      <w:pPr>
        <w:jc w:val="both"/>
        <w:rPr>
          <w:rFonts w:eastAsia="Arial" w:cs="Arial"/>
          <w:bCs/>
          <w:spacing w:val="-1"/>
          <w:szCs w:val="24"/>
          <w:lang w:val="en-US"/>
        </w:rPr>
      </w:pPr>
    </w:p>
    <w:p w14:paraId="58BC3968" w14:textId="77777777" w:rsidR="0058716B" w:rsidRDefault="0058716B" w:rsidP="0058716B">
      <w:pPr>
        <w:jc w:val="both"/>
        <w:rPr>
          <w:rFonts w:eastAsia="Arial" w:cs="Arial"/>
          <w:bCs/>
          <w:spacing w:val="-1"/>
          <w:szCs w:val="24"/>
          <w:lang w:val="en-US"/>
        </w:rPr>
      </w:pPr>
      <w:r>
        <w:rPr>
          <w:rFonts w:eastAsia="Arial" w:cs="Arial"/>
          <w:bCs/>
          <w:spacing w:val="-1"/>
          <w:szCs w:val="24"/>
          <w:lang w:val="en-US"/>
        </w:rPr>
        <w:t>The assessment</w:t>
      </w:r>
      <w:r w:rsidRPr="00A06E0C">
        <w:rPr>
          <w:rFonts w:eastAsia="Arial" w:cs="Arial"/>
          <w:bCs/>
          <w:spacing w:val="-1"/>
          <w:szCs w:val="24"/>
          <w:lang w:val="en-US"/>
        </w:rPr>
        <w:t xml:space="preserve"> is a</w:t>
      </w:r>
      <w:r>
        <w:rPr>
          <w:rFonts w:eastAsia="Arial" w:cs="Arial"/>
          <w:bCs/>
          <w:spacing w:val="-1"/>
          <w:szCs w:val="24"/>
          <w:lang w:val="en-US"/>
        </w:rPr>
        <w:t>n individual</w:t>
      </w:r>
      <w:r w:rsidRPr="00A06E0C">
        <w:rPr>
          <w:rFonts w:eastAsia="Arial" w:cs="Arial"/>
          <w:bCs/>
          <w:spacing w:val="-1"/>
          <w:szCs w:val="24"/>
          <w:lang w:val="en-US"/>
        </w:rPr>
        <w:t xml:space="preserve"> </w:t>
      </w:r>
      <w:r w:rsidRPr="005102F8">
        <w:rPr>
          <w:rFonts w:eastAsia="Arial" w:cs="Arial"/>
          <w:b/>
          <w:spacing w:val="-1"/>
          <w:szCs w:val="24"/>
          <w:lang w:val="en-US"/>
        </w:rPr>
        <w:t>project appraisal report</w:t>
      </w:r>
      <w:r>
        <w:rPr>
          <w:rFonts w:eastAsia="Arial" w:cs="Arial"/>
          <w:bCs/>
          <w:spacing w:val="-1"/>
          <w:szCs w:val="24"/>
          <w:lang w:val="en-US"/>
        </w:rPr>
        <w:t xml:space="preserve">. The project is a </w:t>
      </w:r>
      <w:r w:rsidRPr="00CD21FC">
        <w:rPr>
          <w:rFonts w:eastAsia="Arial" w:cs="Arial"/>
          <w:bCs/>
          <w:spacing w:val="-1"/>
          <w:szCs w:val="24"/>
          <w:u w:val="single"/>
          <w:lang w:val="en-US"/>
        </w:rPr>
        <w:t xml:space="preserve">recent </w:t>
      </w:r>
      <w:r>
        <w:rPr>
          <w:rFonts w:eastAsia="Arial" w:cs="Arial"/>
          <w:bCs/>
          <w:spacing w:val="-1"/>
          <w:szCs w:val="24"/>
          <w:lang w:val="en-US"/>
        </w:rPr>
        <w:t xml:space="preserve">business takeover or merger to be </w:t>
      </w:r>
      <w:r w:rsidRPr="00A06E0C">
        <w:rPr>
          <w:rFonts w:eastAsia="Arial" w:cs="Arial"/>
          <w:bCs/>
          <w:spacing w:val="-1"/>
          <w:szCs w:val="24"/>
          <w:lang w:val="en-US"/>
        </w:rPr>
        <w:t>investigate</w:t>
      </w:r>
      <w:r>
        <w:rPr>
          <w:rFonts w:eastAsia="Arial" w:cs="Arial"/>
          <w:bCs/>
          <w:spacing w:val="-1"/>
          <w:szCs w:val="24"/>
          <w:lang w:val="en-US"/>
        </w:rPr>
        <w:t xml:space="preserve">d in detail. The report should be </w:t>
      </w:r>
      <w:r w:rsidRPr="00707CBA">
        <w:rPr>
          <w:rFonts w:eastAsia="Arial" w:cs="Arial"/>
          <w:b/>
          <w:bCs/>
          <w:spacing w:val="-1"/>
          <w:szCs w:val="24"/>
          <w:lang w:val="en-US"/>
        </w:rPr>
        <w:t xml:space="preserve">3,000 words plus </w:t>
      </w:r>
      <w:r>
        <w:rPr>
          <w:rFonts w:eastAsia="Arial" w:cs="Arial"/>
          <w:b/>
          <w:bCs/>
          <w:spacing w:val="-1"/>
          <w:szCs w:val="24"/>
          <w:lang w:val="en-US"/>
        </w:rPr>
        <w:t xml:space="preserve">appendices containing slides, spreadsheet </w:t>
      </w:r>
      <w:r w:rsidRPr="00707CBA">
        <w:rPr>
          <w:rFonts w:eastAsia="Arial" w:cs="Arial"/>
          <w:b/>
          <w:bCs/>
          <w:spacing w:val="-1"/>
          <w:szCs w:val="24"/>
          <w:lang w:val="en-US"/>
        </w:rPr>
        <w:t>analysis</w:t>
      </w:r>
      <w:r>
        <w:rPr>
          <w:rFonts w:eastAsia="Arial" w:cs="Arial"/>
          <w:b/>
          <w:bCs/>
          <w:spacing w:val="-1"/>
          <w:szCs w:val="24"/>
          <w:lang w:val="en-US"/>
        </w:rPr>
        <w:t xml:space="preserve"> and learning logs</w:t>
      </w:r>
      <w:r>
        <w:rPr>
          <w:rFonts w:eastAsia="Arial" w:cs="Arial"/>
          <w:bCs/>
          <w:spacing w:val="-1"/>
          <w:szCs w:val="24"/>
          <w:lang w:val="en-US"/>
        </w:rPr>
        <w:t>.</w:t>
      </w:r>
    </w:p>
    <w:p w14:paraId="47F3236C" w14:textId="77777777" w:rsidR="0058716B" w:rsidRDefault="0058716B" w:rsidP="0058716B">
      <w:pPr>
        <w:jc w:val="both"/>
        <w:rPr>
          <w:rFonts w:eastAsia="Arial" w:cs="Arial"/>
          <w:bCs/>
          <w:spacing w:val="-1"/>
          <w:szCs w:val="24"/>
          <w:lang w:val="en-US"/>
        </w:rPr>
      </w:pPr>
    </w:p>
    <w:p w14:paraId="55A2BB80" w14:textId="77777777" w:rsidR="0058716B" w:rsidRPr="00126AA8" w:rsidRDefault="0058716B" w:rsidP="0058716B">
      <w:pPr>
        <w:jc w:val="both"/>
        <w:rPr>
          <w:rFonts w:asciiTheme="minorBidi" w:eastAsia="Arial" w:hAnsiTheme="minorBidi" w:cstheme="minorBidi"/>
          <w:bCs/>
          <w:spacing w:val="-1"/>
          <w:szCs w:val="24"/>
          <w:u w:val="single"/>
          <w:lang w:val="en-US"/>
        </w:rPr>
      </w:pPr>
      <w:r w:rsidRPr="00126AA8">
        <w:rPr>
          <w:rFonts w:asciiTheme="minorBidi" w:eastAsia="Arial" w:hAnsiTheme="minorBidi" w:cstheme="minorBidi"/>
          <w:bCs/>
          <w:spacing w:val="-1"/>
          <w:szCs w:val="24"/>
          <w:u w:val="single"/>
          <w:lang w:val="en-US"/>
        </w:rPr>
        <w:t xml:space="preserve">A </w:t>
      </w:r>
      <w:r w:rsidRPr="00126AA8">
        <w:rPr>
          <w:rFonts w:asciiTheme="minorBidi" w:eastAsia="Arial" w:hAnsiTheme="minorBidi" w:cstheme="minorBidi"/>
          <w:b/>
          <w:bCs/>
          <w:spacing w:val="-1"/>
          <w:szCs w:val="24"/>
          <w:u w:val="single"/>
          <w:lang w:val="en-US"/>
        </w:rPr>
        <w:t>business case</w:t>
      </w:r>
      <w:r w:rsidRPr="00126AA8">
        <w:rPr>
          <w:rFonts w:asciiTheme="minorBidi" w:eastAsia="Arial" w:hAnsiTheme="minorBidi" w:cstheme="minorBidi"/>
          <w:bCs/>
          <w:spacing w:val="-1"/>
          <w:szCs w:val="24"/>
          <w:u w:val="single"/>
          <w:lang w:val="en-US"/>
        </w:rPr>
        <w:t xml:space="preserve"> should be made to justify the takeover bid</w:t>
      </w:r>
      <w:r w:rsidRPr="00126AA8">
        <w:rPr>
          <w:rFonts w:asciiTheme="minorBidi" w:eastAsia="Arial" w:hAnsiTheme="minorBidi" w:cstheme="minorBidi"/>
          <w:bCs/>
          <w:noProof/>
          <w:spacing w:val="-1"/>
          <w:szCs w:val="24"/>
          <w:u w:val="single"/>
          <w:lang w:eastAsia="en-GB"/>
        </w:rPr>
        <w:t>. Your</w:t>
      </w:r>
      <w:r w:rsidRPr="00126AA8">
        <w:rPr>
          <w:rFonts w:asciiTheme="minorBidi" w:eastAsia="Arial" w:hAnsiTheme="minorBidi" w:cstheme="minorBidi"/>
          <w:b/>
          <w:spacing w:val="-1"/>
          <w:szCs w:val="24"/>
          <w:u w:val="single"/>
          <w:lang w:val="en-US"/>
        </w:rPr>
        <w:t xml:space="preserve"> report</w:t>
      </w:r>
      <w:r w:rsidRPr="00126AA8">
        <w:rPr>
          <w:rFonts w:asciiTheme="minorBidi" w:eastAsia="Arial" w:hAnsiTheme="minorBidi" w:cstheme="minorBidi"/>
          <w:bCs/>
          <w:spacing w:val="-1"/>
          <w:szCs w:val="24"/>
          <w:u w:val="single"/>
          <w:lang w:val="en-US"/>
        </w:rPr>
        <w:t xml:space="preserve"> should contain:</w:t>
      </w:r>
    </w:p>
    <w:p w14:paraId="5F001276" w14:textId="77777777" w:rsidR="0058716B" w:rsidRPr="00126AA8" w:rsidRDefault="0058716B" w:rsidP="0058716B">
      <w:pPr>
        <w:jc w:val="both"/>
        <w:rPr>
          <w:rFonts w:asciiTheme="minorBidi" w:eastAsia="Arial" w:hAnsiTheme="minorBidi" w:cstheme="minorBidi"/>
          <w:bCs/>
          <w:spacing w:val="-1"/>
          <w:szCs w:val="24"/>
          <w:lang w:val="en-US"/>
        </w:rPr>
      </w:pPr>
    </w:p>
    <w:p w14:paraId="20D12777"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Cs/>
          <w:spacing w:val="-1"/>
          <w:szCs w:val="24"/>
          <w:lang w:val="en-US"/>
        </w:rPr>
        <w:t xml:space="preserve">Present </w:t>
      </w:r>
      <w:r w:rsidRPr="00126AA8">
        <w:rPr>
          <w:rFonts w:asciiTheme="minorBidi" w:eastAsia="Arial" w:hAnsiTheme="minorBidi" w:cstheme="minorBidi"/>
          <w:b/>
          <w:spacing w:val="-1"/>
          <w:szCs w:val="24"/>
          <w:lang w:val="en-US"/>
        </w:rPr>
        <w:t>ONE</w:t>
      </w:r>
      <w:r w:rsidRPr="00126AA8">
        <w:rPr>
          <w:rFonts w:asciiTheme="minorBidi" w:eastAsia="Arial" w:hAnsiTheme="minorBidi" w:cstheme="minorBidi"/>
          <w:bCs/>
          <w:spacing w:val="-1"/>
          <w:szCs w:val="24"/>
          <w:lang w:val="en-US"/>
        </w:rPr>
        <w:t xml:space="preserve"> of</w:t>
      </w:r>
      <w:r>
        <w:rPr>
          <w:rFonts w:asciiTheme="minorBidi" w:eastAsia="Arial" w:hAnsiTheme="minorBidi"/>
          <w:bCs/>
          <w:spacing w:val="-1"/>
          <w:szCs w:val="24"/>
          <w:lang w:val="en-US"/>
        </w:rPr>
        <w:t xml:space="preserve"> </w:t>
      </w:r>
      <w:r w:rsidRPr="00126AA8">
        <w:rPr>
          <w:rFonts w:asciiTheme="minorBidi" w:eastAsia="Arial" w:hAnsiTheme="minorBidi" w:cstheme="minorBidi"/>
          <w:bCs/>
          <w:spacing w:val="-1"/>
          <w:szCs w:val="24"/>
          <w:lang w:val="en-US"/>
        </w:rPr>
        <w:t xml:space="preserve">(2 power-point slides appended to your report) </w:t>
      </w:r>
      <w:r w:rsidRPr="00126AA8">
        <w:rPr>
          <w:rFonts w:asciiTheme="minorBidi" w:eastAsia="Arial" w:hAnsiTheme="minorBidi" w:cstheme="minorBidi"/>
          <w:b/>
          <w:bCs/>
          <w:spacing w:val="-1"/>
          <w:szCs w:val="24"/>
          <w:lang w:val="en-US"/>
        </w:rPr>
        <w:t>15 marks</w:t>
      </w:r>
    </w:p>
    <w:p w14:paraId="12E3B79B" w14:textId="77777777" w:rsidR="0058716B" w:rsidRPr="00126AA8" w:rsidRDefault="0058716B" w:rsidP="0058716B">
      <w:pPr>
        <w:pStyle w:val="ListParagraph"/>
        <w:numPr>
          <w:ilvl w:val="1"/>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Cs/>
          <w:spacing w:val="-1"/>
          <w:szCs w:val="24"/>
          <w:lang w:val="en-US"/>
        </w:rPr>
        <w:t>strategic/market (competitor) analysis (rationale for takeover)</w:t>
      </w:r>
    </w:p>
    <w:p w14:paraId="450771B3" w14:textId="77777777" w:rsidR="0058716B" w:rsidRPr="00126AA8" w:rsidRDefault="0058716B" w:rsidP="0058716B">
      <w:pPr>
        <w:pStyle w:val="ListParagraph"/>
        <w:numPr>
          <w:ilvl w:val="1"/>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Cs/>
          <w:spacing w:val="-1"/>
          <w:szCs w:val="24"/>
          <w:lang w:val="en-US"/>
        </w:rPr>
        <w:t xml:space="preserve">preliminary financial analysis, stating the assumptions required to value the target company using DCF analysis (revenue growth, profit margin, cost of capital etc.) </w:t>
      </w:r>
    </w:p>
    <w:p w14:paraId="49A1C94D" w14:textId="77777777" w:rsidR="0058716B" w:rsidRPr="00126AA8" w:rsidRDefault="0058716B" w:rsidP="0058716B">
      <w:pPr>
        <w:pStyle w:val="ListParagraph"/>
        <w:ind w:left="1080"/>
        <w:jc w:val="both"/>
        <w:rPr>
          <w:rFonts w:asciiTheme="minorBidi" w:eastAsia="Arial" w:hAnsiTheme="minorBidi" w:cstheme="minorBidi"/>
          <w:bCs/>
          <w:spacing w:val="-1"/>
          <w:szCs w:val="24"/>
          <w:lang w:val="en-US"/>
        </w:rPr>
      </w:pPr>
    </w:p>
    <w:p w14:paraId="5EB470AD"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spacing w:val="-1"/>
          <w:szCs w:val="24"/>
          <w:lang w:val="en-US"/>
        </w:rPr>
        <w:t xml:space="preserve">A </w:t>
      </w:r>
      <w:r w:rsidRPr="00126AA8">
        <w:rPr>
          <w:rFonts w:asciiTheme="minorBidi" w:eastAsia="Arial" w:hAnsiTheme="minorBidi" w:cstheme="minorBidi"/>
          <w:b/>
          <w:bCs/>
          <w:spacing w:val="-1"/>
          <w:szCs w:val="24"/>
          <w:lang w:val="en-US"/>
        </w:rPr>
        <w:t>business valuation</w:t>
      </w:r>
      <w:r w:rsidRPr="00126AA8">
        <w:rPr>
          <w:rFonts w:asciiTheme="minorBidi" w:eastAsia="Arial" w:hAnsiTheme="minorBidi" w:cstheme="minorBidi"/>
          <w:bCs/>
          <w:spacing w:val="-1"/>
          <w:szCs w:val="24"/>
          <w:lang w:val="en-US"/>
        </w:rPr>
        <w:t xml:space="preserve">, based on recent </w:t>
      </w:r>
      <w:r w:rsidRPr="00126AA8">
        <w:rPr>
          <w:rFonts w:asciiTheme="minorBidi" w:eastAsia="Arial" w:hAnsiTheme="minorBidi" w:cstheme="minorBidi"/>
          <w:spacing w:val="-1"/>
          <w:szCs w:val="24"/>
          <w:lang w:val="en-US"/>
        </w:rPr>
        <w:t>financial performance</w:t>
      </w:r>
      <w:r w:rsidRPr="00126AA8">
        <w:rPr>
          <w:rFonts w:asciiTheme="minorBidi" w:eastAsia="Arial" w:hAnsiTheme="minorBidi" w:cstheme="minorBidi"/>
          <w:bCs/>
          <w:spacing w:val="-1"/>
          <w:szCs w:val="24"/>
          <w:lang w:val="en-US"/>
        </w:rPr>
        <w:t xml:space="preserve">, calculate the equity value of the target company to justify the bid price offered by bidder. Explain your methods and </w:t>
      </w:r>
      <w:r w:rsidRPr="00126AA8">
        <w:rPr>
          <w:rFonts w:asciiTheme="minorBidi" w:eastAsia="Arial" w:hAnsiTheme="minorBidi" w:cstheme="minorBidi"/>
          <w:b/>
          <w:spacing w:val="-1"/>
          <w:szCs w:val="24"/>
          <w:lang w:val="en-US"/>
        </w:rPr>
        <w:t>justify your assumptions</w:t>
      </w:r>
      <w:r w:rsidRPr="00126AA8">
        <w:rPr>
          <w:rFonts w:asciiTheme="minorBidi" w:eastAsia="Arial" w:hAnsiTheme="minorBidi" w:cstheme="minorBidi"/>
          <w:bCs/>
          <w:spacing w:val="-1"/>
          <w:szCs w:val="24"/>
          <w:lang w:val="en-US"/>
        </w:rPr>
        <w:t xml:space="preserve"> for forecast performance under new ownership. You should append 2 screenshots from a spreadsheet model (results &amp; formulae) to your report – </w:t>
      </w:r>
      <w:r w:rsidRPr="00126AA8">
        <w:rPr>
          <w:rFonts w:asciiTheme="minorBidi" w:eastAsia="Arial" w:hAnsiTheme="minorBidi" w:cstheme="minorBidi"/>
          <w:b/>
          <w:bCs/>
          <w:spacing w:val="-1"/>
          <w:szCs w:val="24"/>
          <w:lang w:val="en-US"/>
        </w:rPr>
        <w:t>30 marks</w:t>
      </w:r>
    </w:p>
    <w:p w14:paraId="4B5397A8" w14:textId="77777777" w:rsidR="0058716B" w:rsidRPr="00126AA8" w:rsidRDefault="0058716B" w:rsidP="0058716B">
      <w:pPr>
        <w:pStyle w:val="ListParagraph"/>
        <w:ind w:left="375"/>
        <w:jc w:val="both"/>
        <w:rPr>
          <w:rFonts w:asciiTheme="minorBidi" w:eastAsia="Arial" w:hAnsiTheme="minorBidi" w:cstheme="minorBidi"/>
          <w:bCs/>
          <w:spacing w:val="-1"/>
          <w:szCs w:val="24"/>
          <w:lang w:val="en-US"/>
        </w:rPr>
      </w:pPr>
    </w:p>
    <w:p w14:paraId="60EDD6B4"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
          <w:bCs/>
          <w:spacing w:val="-1"/>
          <w:szCs w:val="24"/>
          <w:lang w:val="en-US"/>
        </w:rPr>
        <w:t xml:space="preserve">What if? </w:t>
      </w:r>
      <w:r w:rsidRPr="00126AA8">
        <w:rPr>
          <w:rFonts w:asciiTheme="minorBidi" w:eastAsia="Arial" w:hAnsiTheme="minorBidi" w:cstheme="minorBidi"/>
          <w:bCs/>
          <w:spacing w:val="-1"/>
          <w:szCs w:val="24"/>
          <w:lang w:val="en-US"/>
        </w:rPr>
        <w:t>Identify a possible rival bidder (usually from the same sector). Explain</w:t>
      </w:r>
      <w:r w:rsidRPr="00126AA8">
        <w:rPr>
          <w:rFonts w:asciiTheme="minorBidi" w:eastAsia="Arial" w:hAnsiTheme="minorBidi" w:cstheme="minorBidi"/>
          <w:b/>
          <w:bCs/>
          <w:spacing w:val="-1"/>
          <w:szCs w:val="24"/>
          <w:lang w:val="en-US"/>
        </w:rPr>
        <w:t xml:space="preserve"> </w:t>
      </w:r>
      <w:r w:rsidRPr="00126AA8">
        <w:rPr>
          <w:rFonts w:asciiTheme="minorBidi" w:eastAsia="Arial" w:hAnsiTheme="minorBidi" w:cstheme="minorBidi"/>
          <w:spacing w:val="-1"/>
          <w:szCs w:val="24"/>
          <w:lang w:val="en-US"/>
        </w:rPr>
        <w:t>wh</w:t>
      </w:r>
      <w:r w:rsidRPr="00126AA8">
        <w:rPr>
          <w:rFonts w:asciiTheme="minorBidi" w:eastAsia="Arial" w:hAnsiTheme="minorBidi" w:cstheme="minorBidi"/>
          <w:bCs/>
          <w:spacing w:val="-1"/>
          <w:szCs w:val="24"/>
          <w:lang w:val="en-US"/>
        </w:rPr>
        <w:t xml:space="preserve">y the rival bidder may have made different assumptions in their </w:t>
      </w:r>
      <w:r w:rsidRPr="00126AA8">
        <w:rPr>
          <w:rFonts w:asciiTheme="minorBidi" w:eastAsia="Arial" w:hAnsiTheme="minorBidi" w:cstheme="minorBidi"/>
          <w:b/>
          <w:bCs/>
          <w:spacing w:val="-1"/>
          <w:szCs w:val="24"/>
          <w:lang w:val="en-US"/>
        </w:rPr>
        <w:t>business valuation</w:t>
      </w:r>
      <w:r w:rsidRPr="00126AA8">
        <w:rPr>
          <w:rFonts w:asciiTheme="minorBidi" w:eastAsia="Arial" w:hAnsiTheme="minorBidi" w:cstheme="minorBidi"/>
          <w:bCs/>
          <w:spacing w:val="-1"/>
          <w:szCs w:val="24"/>
          <w:lang w:val="en-US"/>
        </w:rPr>
        <w:t xml:space="preserve"> and hence a different bid price – </w:t>
      </w:r>
      <w:r w:rsidRPr="00126AA8">
        <w:rPr>
          <w:rFonts w:asciiTheme="minorBidi" w:eastAsia="Arial" w:hAnsiTheme="minorBidi" w:cstheme="minorBidi"/>
          <w:b/>
          <w:bCs/>
          <w:spacing w:val="-1"/>
          <w:szCs w:val="24"/>
          <w:lang w:val="en-US"/>
        </w:rPr>
        <w:t>15 marks</w:t>
      </w:r>
    </w:p>
    <w:p w14:paraId="1F52ACF5" w14:textId="77777777" w:rsidR="0058716B" w:rsidRPr="00126AA8" w:rsidRDefault="0058716B" w:rsidP="0058716B">
      <w:pPr>
        <w:pStyle w:val="ListParagraph"/>
        <w:ind w:left="375"/>
        <w:jc w:val="both"/>
        <w:rPr>
          <w:rFonts w:asciiTheme="minorBidi" w:eastAsia="Arial" w:hAnsiTheme="minorBidi" w:cstheme="minorBidi"/>
          <w:bCs/>
          <w:spacing w:val="-1"/>
          <w:szCs w:val="24"/>
          <w:lang w:val="en-US"/>
        </w:rPr>
      </w:pPr>
    </w:p>
    <w:p w14:paraId="41C1E641"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
          <w:spacing w:val="-1"/>
          <w:szCs w:val="24"/>
          <w:lang w:val="en-US"/>
        </w:rPr>
        <w:t>Write a</w:t>
      </w:r>
      <w:r w:rsidRPr="00126AA8">
        <w:rPr>
          <w:rFonts w:asciiTheme="minorBidi" w:eastAsia="Arial" w:hAnsiTheme="minorBidi" w:cstheme="minorBidi"/>
          <w:bCs/>
          <w:spacing w:val="-1"/>
          <w:szCs w:val="24"/>
          <w:lang w:val="en-US"/>
        </w:rPr>
        <w:t xml:space="preserve"> </w:t>
      </w:r>
      <w:r w:rsidRPr="00126AA8">
        <w:rPr>
          <w:rFonts w:asciiTheme="minorBidi" w:eastAsia="Arial" w:hAnsiTheme="minorBidi" w:cstheme="minorBidi"/>
          <w:b/>
          <w:bCs/>
          <w:spacing w:val="-1"/>
          <w:szCs w:val="24"/>
          <w:lang w:val="en-US"/>
        </w:rPr>
        <w:t>critique</w:t>
      </w:r>
      <w:r w:rsidRPr="00126AA8">
        <w:rPr>
          <w:rFonts w:asciiTheme="minorBidi" w:eastAsia="Arial" w:hAnsiTheme="minorBidi" w:cstheme="minorBidi"/>
          <w:bCs/>
          <w:spacing w:val="-1"/>
          <w:szCs w:val="24"/>
          <w:lang w:val="en-US"/>
        </w:rPr>
        <w:t xml:space="preserve"> of business valuation methods and relevant research, explaining why any anticipated bidder gains may not come to fruition, especially given the possible economic crisis (e.g. Covid-19).  Refer to relevant research and cite journal articles to support your </w:t>
      </w:r>
      <w:r w:rsidRPr="00126AA8">
        <w:rPr>
          <w:rFonts w:asciiTheme="minorBidi" w:eastAsia="Arial" w:hAnsiTheme="minorBidi" w:cstheme="minorBidi"/>
          <w:spacing w:val="-1"/>
          <w:szCs w:val="24"/>
          <w:lang w:val="en-US"/>
        </w:rPr>
        <w:t>discussion</w:t>
      </w:r>
      <w:r w:rsidRPr="00126AA8">
        <w:rPr>
          <w:rFonts w:asciiTheme="minorBidi" w:eastAsia="Arial" w:hAnsiTheme="minorBidi" w:cstheme="minorBidi"/>
          <w:bCs/>
          <w:spacing w:val="-1"/>
          <w:szCs w:val="24"/>
          <w:lang w:val="en-US"/>
        </w:rPr>
        <w:t xml:space="preserve"> – </w:t>
      </w:r>
      <w:r w:rsidRPr="00126AA8">
        <w:rPr>
          <w:rFonts w:asciiTheme="minorBidi" w:eastAsia="Arial" w:hAnsiTheme="minorBidi" w:cstheme="minorBidi"/>
          <w:b/>
          <w:bCs/>
          <w:spacing w:val="-1"/>
          <w:szCs w:val="24"/>
          <w:lang w:val="en-US"/>
        </w:rPr>
        <w:t>15 marks</w:t>
      </w:r>
    </w:p>
    <w:p w14:paraId="46AB2EBE" w14:textId="77777777" w:rsidR="0058716B" w:rsidRPr="00126AA8" w:rsidRDefault="0058716B" w:rsidP="0058716B">
      <w:pPr>
        <w:pStyle w:val="ListParagraph"/>
        <w:ind w:left="375"/>
        <w:jc w:val="both"/>
        <w:rPr>
          <w:rFonts w:asciiTheme="minorBidi" w:eastAsia="Arial" w:hAnsiTheme="minorBidi" w:cstheme="minorBidi"/>
          <w:bCs/>
          <w:spacing w:val="-1"/>
          <w:szCs w:val="24"/>
          <w:lang w:val="en-US"/>
        </w:rPr>
      </w:pPr>
    </w:p>
    <w:p w14:paraId="302D14C7"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Cs/>
          <w:spacing w:val="-1"/>
          <w:szCs w:val="24"/>
          <w:lang w:val="en-US"/>
        </w:rPr>
        <w:t>A</w:t>
      </w:r>
      <w:r w:rsidRPr="00126AA8">
        <w:rPr>
          <w:rFonts w:asciiTheme="minorBidi" w:eastAsia="Arial" w:hAnsiTheme="minorBidi" w:cstheme="minorBidi"/>
          <w:b/>
          <w:bCs/>
          <w:spacing w:val="-1"/>
          <w:szCs w:val="24"/>
          <w:lang w:val="en-US"/>
        </w:rPr>
        <w:t xml:space="preserve"> learning (b)log</w:t>
      </w:r>
      <w:r w:rsidRPr="00126AA8">
        <w:rPr>
          <w:rFonts w:asciiTheme="minorBidi" w:eastAsia="Arial" w:hAnsiTheme="minorBidi" w:cstheme="minorBidi"/>
          <w:bCs/>
          <w:spacing w:val="-1"/>
          <w:szCs w:val="24"/>
          <w:lang w:val="en-US"/>
        </w:rPr>
        <w:t xml:space="preserve"> (using the template provided) to reflect on what you have learnt from each session (at least 8), including reference to Moodle materials, showing how you have applied this learning to the assessment task, to be appended to your report – </w:t>
      </w:r>
      <w:r w:rsidRPr="00126AA8">
        <w:rPr>
          <w:rFonts w:asciiTheme="minorBidi" w:eastAsia="Arial" w:hAnsiTheme="minorBidi" w:cstheme="minorBidi"/>
          <w:b/>
          <w:bCs/>
          <w:spacing w:val="-1"/>
          <w:szCs w:val="24"/>
          <w:lang w:val="en-US"/>
        </w:rPr>
        <w:t>15 marks</w:t>
      </w:r>
    </w:p>
    <w:p w14:paraId="4C82E365" w14:textId="77777777" w:rsidR="0058716B" w:rsidRPr="00126AA8" w:rsidRDefault="0058716B" w:rsidP="0058716B">
      <w:pPr>
        <w:jc w:val="both"/>
        <w:rPr>
          <w:rFonts w:asciiTheme="minorBidi" w:eastAsia="Arial" w:hAnsiTheme="minorBidi" w:cstheme="minorBidi"/>
          <w:bCs/>
          <w:spacing w:val="-1"/>
          <w:szCs w:val="24"/>
          <w:lang w:val="en-US"/>
        </w:rPr>
      </w:pPr>
    </w:p>
    <w:p w14:paraId="545A7002" w14:textId="77777777" w:rsidR="0058716B" w:rsidRPr="00126AA8" w:rsidRDefault="0058716B" w:rsidP="0058716B">
      <w:pPr>
        <w:pStyle w:val="ListParagraph"/>
        <w:numPr>
          <w:ilvl w:val="0"/>
          <w:numId w:val="1"/>
        </w:numPr>
        <w:jc w:val="both"/>
        <w:rPr>
          <w:rFonts w:asciiTheme="minorBidi" w:eastAsia="Arial" w:hAnsiTheme="minorBidi" w:cstheme="minorBidi"/>
          <w:bCs/>
          <w:spacing w:val="-1"/>
          <w:szCs w:val="24"/>
          <w:lang w:val="en-US"/>
        </w:rPr>
      </w:pPr>
      <w:r w:rsidRPr="00126AA8">
        <w:rPr>
          <w:rFonts w:asciiTheme="minorBidi" w:eastAsia="Arial" w:hAnsiTheme="minorBidi" w:cstheme="minorBidi"/>
          <w:bCs/>
          <w:spacing w:val="-1"/>
          <w:szCs w:val="24"/>
          <w:lang w:val="en-US"/>
        </w:rPr>
        <w:t xml:space="preserve">A supporting </w:t>
      </w:r>
      <w:r w:rsidRPr="00126AA8">
        <w:rPr>
          <w:rFonts w:asciiTheme="minorBidi" w:eastAsia="Arial" w:hAnsiTheme="minorBidi" w:cstheme="minorBidi"/>
          <w:b/>
          <w:spacing w:val="-1"/>
          <w:szCs w:val="24"/>
          <w:lang w:val="en-US"/>
        </w:rPr>
        <w:t>bibliography</w:t>
      </w:r>
      <w:r w:rsidRPr="00126AA8">
        <w:rPr>
          <w:rFonts w:asciiTheme="minorBidi" w:eastAsia="Arial" w:hAnsiTheme="minorBidi" w:cstheme="minorBidi"/>
          <w:bCs/>
          <w:spacing w:val="-1"/>
          <w:szCs w:val="24"/>
          <w:lang w:val="en-US"/>
        </w:rPr>
        <w:t xml:space="preserve"> and professional style of report (presentation) – </w:t>
      </w:r>
      <w:r w:rsidRPr="00126AA8">
        <w:rPr>
          <w:rFonts w:asciiTheme="minorBidi" w:eastAsia="Arial" w:hAnsiTheme="minorBidi" w:cstheme="minorBidi"/>
          <w:b/>
          <w:spacing w:val="-1"/>
          <w:szCs w:val="24"/>
          <w:lang w:val="en-US"/>
        </w:rPr>
        <w:t>10 marks</w:t>
      </w:r>
    </w:p>
    <w:p w14:paraId="22A54697" w14:textId="3991CFD2" w:rsidR="00CD21FC" w:rsidRDefault="00CD21FC" w:rsidP="00F07FE0">
      <w:pPr>
        <w:jc w:val="both"/>
        <w:rPr>
          <w:rFonts w:eastAsia="Arial" w:cs="Arial"/>
          <w:bCs/>
          <w:spacing w:val="-1"/>
          <w:szCs w:val="24"/>
          <w:lang w:val="en-US"/>
        </w:rPr>
      </w:pPr>
    </w:p>
    <w:p w14:paraId="348F4EFB" w14:textId="4DAB3C4F" w:rsidR="007B7B64" w:rsidRDefault="007B7B64" w:rsidP="007B7B64">
      <w:pPr>
        <w:rPr>
          <w:rFonts w:cs="Arial"/>
          <w:b/>
          <w:color w:val="006600"/>
          <w:sz w:val="26"/>
          <w:szCs w:val="26"/>
        </w:rPr>
      </w:pPr>
      <w:r>
        <w:rPr>
          <w:rFonts w:cs="Arial"/>
          <w:b/>
          <w:color w:val="006600"/>
          <w:sz w:val="26"/>
          <w:szCs w:val="26"/>
        </w:rPr>
        <w:t>Structure and presentation</w:t>
      </w:r>
    </w:p>
    <w:p w14:paraId="78D5CE12" w14:textId="77777777" w:rsidR="007B7B64" w:rsidRPr="00465C5A" w:rsidRDefault="007B7B64" w:rsidP="007B7B64">
      <w:pPr>
        <w:rPr>
          <w:rFonts w:cs="Arial"/>
          <w:b/>
          <w:color w:val="006600"/>
          <w:sz w:val="22"/>
          <w:szCs w:val="22"/>
        </w:rPr>
      </w:pPr>
    </w:p>
    <w:p w14:paraId="3D4F6F0B" w14:textId="77777777" w:rsidR="007B7B64" w:rsidRPr="00163BC6" w:rsidRDefault="007B7B64" w:rsidP="007B7B64">
      <w:pPr>
        <w:jc w:val="both"/>
        <w:rPr>
          <w:rFonts w:cs="Arial"/>
          <w:sz w:val="22"/>
          <w:szCs w:val="22"/>
        </w:rPr>
      </w:pPr>
      <w:r w:rsidRPr="00465C5A">
        <w:rPr>
          <w:rFonts w:eastAsia="Arial" w:cs="Arial"/>
          <w:bCs/>
          <w:spacing w:val="-1"/>
          <w:sz w:val="22"/>
          <w:szCs w:val="22"/>
          <w:lang w:val="en-US"/>
        </w:rPr>
        <w:t>The individual report should be 3000 words plus</w:t>
      </w:r>
      <w:r>
        <w:rPr>
          <w:rFonts w:eastAsia="Arial" w:cs="Arial"/>
          <w:bCs/>
          <w:spacing w:val="-1"/>
          <w:sz w:val="22"/>
          <w:szCs w:val="22"/>
          <w:lang w:val="en-US"/>
        </w:rPr>
        <w:t xml:space="preserve"> references and appendices</w:t>
      </w:r>
      <w:r w:rsidRPr="00465C5A">
        <w:rPr>
          <w:rFonts w:eastAsia="Arial" w:cs="Arial"/>
          <w:bCs/>
          <w:spacing w:val="-1"/>
          <w:sz w:val="22"/>
          <w:szCs w:val="22"/>
          <w:lang w:val="en-US"/>
        </w:rPr>
        <w:t xml:space="preserve">. The report must be a word document, but you are expected to use a spreadsheet for the financial analysis. You should submit </w:t>
      </w:r>
      <w:r>
        <w:rPr>
          <w:rFonts w:eastAsia="Arial" w:cs="Arial"/>
          <w:bCs/>
          <w:spacing w:val="-1"/>
          <w:sz w:val="22"/>
          <w:szCs w:val="22"/>
          <w:lang w:val="en-US"/>
        </w:rPr>
        <w:t xml:space="preserve">screenshots of </w:t>
      </w:r>
      <w:r w:rsidRPr="00465C5A">
        <w:rPr>
          <w:rFonts w:eastAsia="Arial" w:cs="Arial"/>
          <w:bCs/>
          <w:spacing w:val="-1"/>
          <w:sz w:val="22"/>
          <w:szCs w:val="22"/>
          <w:lang w:val="en-US"/>
        </w:rPr>
        <w:t xml:space="preserve">your spreadsheet </w:t>
      </w:r>
      <w:r>
        <w:rPr>
          <w:rFonts w:eastAsia="Arial" w:cs="Arial"/>
          <w:bCs/>
          <w:spacing w:val="-1"/>
          <w:sz w:val="22"/>
          <w:szCs w:val="22"/>
          <w:lang w:val="en-US"/>
        </w:rPr>
        <w:t xml:space="preserve">results view and </w:t>
      </w:r>
      <w:r w:rsidRPr="00465C5A">
        <w:rPr>
          <w:rFonts w:eastAsia="Arial" w:cs="Arial"/>
          <w:bCs/>
          <w:spacing w:val="-1"/>
          <w:sz w:val="22"/>
          <w:szCs w:val="22"/>
          <w:lang w:val="en-US"/>
        </w:rPr>
        <w:t xml:space="preserve">formulae </w:t>
      </w:r>
      <w:r>
        <w:rPr>
          <w:rFonts w:eastAsia="Arial" w:cs="Arial"/>
          <w:bCs/>
          <w:spacing w:val="-1"/>
          <w:sz w:val="22"/>
          <w:szCs w:val="22"/>
          <w:lang w:val="en-US"/>
        </w:rPr>
        <w:t>view in</w:t>
      </w:r>
      <w:r w:rsidRPr="00465C5A">
        <w:rPr>
          <w:rFonts w:eastAsia="Arial" w:cs="Arial"/>
          <w:bCs/>
          <w:spacing w:val="-1"/>
          <w:sz w:val="22"/>
          <w:szCs w:val="22"/>
          <w:lang w:val="en-US"/>
        </w:rPr>
        <w:t xml:space="preserve"> an appendix.</w:t>
      </w:r>
    </w:p>
    <w:p w14:paraId="2B63BF0E" w14:textId="77777777" w:rsidR="007B7B64" w:rsidRPr="00163BC6" w:rsidRDefault="007B7B64" w:rsidP="007B7B64">
      <w:pPr>
        <w:jc w:val="both"/>
        <w:rPr>
          <w:rFonts w:cs="Arial"/>
          <w:sz w:val="22"/>
          <w:szCs w:val="22"/>
        </w:rPr>
      </w:pPr>
    </w:p>
    <w:p w14:paraId="2CA54F8F" w14:textId="77777777" w:rsidR="007B7B64" w:rsidRDefault="007B7B64" w:rsidP="007B7B64">
      <w:pPr>
        <w:jc w:val="both"/>
        <w:rPr>
          <w:rFonts w:cs="Arial"/>
          <w:sz w:val="22"/>
          <w:szCs w:val="22"/>
        </w:rPr>
      </w:pPr>
      <w:r w:rsidRPr="00163BC6">
        <w:rPr>
          <w:rFonts w:cs="Arial"/>
          <w:sz w:val="22"/>
          <w:szCs w:val="22"/>
        </w:rPr>
        <w:lastRenderedPageBreak/>
        <w:t xml:space="preserve">Any written work should be spell-checked and a contents page should be included. Do </w:t>
      </w:r>
      <w:r w:rsidRPr="00163BC6">
        <w:rPr>
          <w:rFonts w:cs="Arial"/>
          <w:sz w:val="22"/>
          <w:szCs w:val="22"/>
          <w:u w:val="single"/>
        </w:rPr>
        <w:t>not</w:t>
      </w:r>
      <w:r w:rsidRPr="00163BC6">
        <w:rPr>
          <w:rFonts w:cs="Arial"/>
          <w:sz w:val="22"/>
          <w:szCs w:val="22"/>
        </w:rPr>
        <w:t xml:space="preserve"> use various font sizes and colours Black ink, Arial, size 11, 1.5 lines spaced is recommended. Use DIN A4 format and page margins of 2.5 cm or 1 inch.</w:t>
      </w:r>
    </w:p>
    <w:p w14:paraId="5CE9E1C3" w14:textId="77777777" w:rsidR="007B7B64" w:rsidRPr="00465C5A" w:rsidRDefault="007B7B64" w:rsidP="007B7B64">
      <w:pPr>
        <w:jc w:val="both"/>
        <w:rPr>
          <w:rFonts w:cs="Arial"/>
          <w:b/>
          <w:color w:val="006600"/>
          <w:sz w:val="22"/>
          <w:szCs w:val="22"/>
        </w:rPr>
      </w:pPr>
    </w:p>
    <w:p w14:paraId="1386D441" w14:textId="77777777" w:rsidR="007B7B64" w:rsidRDefault="007B7B64" w:rsidP="007B7B64">
      <w:pPr>
        <w:rPr>
          <w:rFonts w:cs="Arial"/>
          <w:b/>
          <w:color w:val="006600"/>
          <w:sz w:val="26"/>
          <w:szCs w:val="26"/>
        </w:rPr>
      </w:pPr>
      <w:r>
        <w:rPr>
          <w:rFonts w:cs="Arial"/>
          <w:b/>
          <w:color w:val="006600"/>
          <w:sz w:val="26"/>
          <w:szCs w:val="26"/>
        </w:rPr>
        <w:t>R</w:t>
      </w:r>
      <w:r w:rsidRPr="00656876">
        <w:rPr>
          <w:rFonts w:cs="Arial"/>
          <w:b/>
          <w:color w:val="006600"/>
          <w:sz w:val="26"/>
          <w:szCs w:val="26"/>
        </w:rPr>
        <w:t>eading list</w:t>
      </w:r>
    </w:p>
    <w:p w14:paraId="36896FFF" w14:textId="77777777" w:rsidR="007B7B64" w:rsidRPr="00656876" w:rsidRDefault="007B7B64" w:rsidP="007B7B64">
      <w:pPr>
        <w:rPr>
          <w:rFonts w:cs="Arial"/>
          <w:b/>
          <w:color w:val="006600"/>
          <w:sz w:val="26"/>
          <w:szCs w:val="26"/>
        </w:rPr>
      </w:pPr>
    </w:p>
    <w:p w14:paraId="519A4DD2" w14:textId="77777777" w:rsidR="007B7B64" w:rsidRPr="00A06E0C" w:rsidRDefault="007B7B64" w:rsidP="007B7B64">
      <w:pPr>
        <w:spacing w:before="120" w:after="120"/>
        <w:rPr>
          <w:rFonts w:eastAsia="Calibri" w:cs="Arial"/>
          <w:b/>
          <w:szCs w:val="24"/>
        </w:rPr>
      </w:pPr>
      <w:r w:rsidRPr="00A06E0C">
        <w:rPr>
          <w:rFonts w:eastAsia="Calibri" w:cs="Arial"/>
          <w:b/>
          <w:szCs w:val="24"/>
        </w:rPr>
        <w:t>Essential Reading</w:t>
      </w:r>
      <w:r>
        <w:rPr>
          <w:rFonts w:eastAsia="Calibri" w:cs="Arial"/>
          <w:b/>
          <w:szCs w:val="24"/>
        </w:rPr>
        <w:br/>
      </w:r>
    </w:p>
    <w:p w14:paraId="27A8565E"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Alkaraan F. &amp; Northcott D. (2013)</w:t>
      </w:r>
      <w:r w:rsidRPr="00465C5A" w:rsidDel="007D4CC7">
        <w:rPr>
          <w:rFonts w:eastAsia="Calibri" w:cs="Arial"/>
          <w:b/>
          <w:sz w:val="22"/>
          <w:szCs w:val="22"/>
          <w:lang w:val="en-US"/>
        </w:rPr>
        <w:t>.</w:t>
      </w:r>
      <w:r w:rsidRPr="00465C5A">
        <w:rPr>
          <w:rFonts w:eastAsia="Calibri" w:cs="Arial"/>
          <w:sz w:val="22"/>
          <w:szCs w:val="22"/>
          <w:lang w:val="en-US"/>
        </w:rPr>
        <w:t xml:space="preserve"> </w:t>
      </w:r>
      <w:r w:rsidRPr="00465C5A" w:rsidDel="007D4CC7">
        <w:rPr>
          <w:rFonts w:eastAsia="Calibri" w:cs="Arial"/>
          <w:sz w:val="22"/>
          <w:szCs w:val="22"/>
          <w:lang w:val="en-US"/>
        </w:rPr>
        <w:t>“</w:t>
      </w:r>
      <w:r w:rsidRPr="00465C5A">
        <w:rPr>
          <w:rFonts w:eastAsia="Calibri" w:cs="Arial"/>
          <w:sz w:val="22"/>
          <w:szCs w:val="22"/>
          <w:lang w:val="en-US"/>
        </w:rPr>
        <w:t>Strategic investment decision-making processes: The influence of contextual factors</w:t>
      </w:r>
      <w:r w:rsidRPr="00465C5A" w:rsidDel="007D4CC7">
        <w:rPr>
          <w:rFonts w:eastAsia="Calibri" w:cs="Arial"/>
          <w:sz w:val="22"/>
          <w:szCs w:val="22"/>
          <w:lang w:val="en-US"/>
        </w:rPr>
        <w:t>”</w:t>
      </w:r>
      <w:r w:rsidRPr="00465C5A">
        <w:rPr>
          <w:rFonts w:eastAsia="Calibri" w:cs="Arial"/>
          <w:sz w:val="22"/>
          <w:szCs w:val="22"/>
          <w:lang w:val="en-US"/>
        </w:rPr>
        <w:t>.</w:t>
      </w:r>
      <w:r w:rsidRPr="00465C5A" w:rsidDel="007D4CC7">
        <w:rPr>
          <w:rFonts w:eastAsia="Calibri" w:cs="Arial"/>
          <w:sz w:val="22"/>
          <w:szCs w:val="22"/>
          <w:lang w:val="en-US"/>
        </w:rPr>
        <w:t xml:space="preserve"> </w:t>
      </w:r>
      <w:r w:rsidRPr="00465C5A">
        <w:rPr>
          <w:rFonts w:eastAsia="Calibri" w:cs="Arial"/>
          <w:sz w:val="22"/>
          <w:szCs w:val="22"/>
          <w:lang w:val="en-US"/>
        </w:rPr>
        <w:t xml:space="preserve"> </w:t>
      </w:r>
      <w:r w:rsidRPr="00465C5A">
        <w:rPr>
          <w:rFonts w:eastAsia="Calibri" w:cs="Arial"/>
          <w:i/>
          <w:sz w:val="22"/>
          <w:szCs w:val="22"/>
          <w:lang w:val="en-US"/>
        </w:rPr>
        <w:t>Meditari Accountancy Research</w:t>
      </w:r>
      <w:r w:rsidRPr="00465C5A" w:rsidDel="007D4CC7">
        <w:rPr>
          <w:rFonts w:eastAsia="Calibri" w:cs="Arial"/>
          <w:sz w:val="22"/>
          <w:szCs w:val="22"/>
          <w:lang w:val="en-US"/>
        </w:rPr>
        <w:t>,</w:t>
      </w:r>
      <w:r w:rsidRPr="00465C5A">
        <w:rPr>
          <w:rFonts w:eastAsia="Calibri" w:cs="Arial"/>
          <w:sz w:val="22"/>
          <w:szCs w:val="22"/>
          <w:lang w:val="en-US"/>
        </w:rPr>
        <w:t xml:space="preserve"> </w:t>
      </w:r>
      <w:r w:rsidRPr="00465C5A">
        <w:rPr>
          <w:rFonts w:eastAsia="Calibri" w:cs="Arial"/>
          <w:bCs/>
          <w:sz w:val="22"/>
          <w:szCs w:val="22"/>
          <w:lang w:val="en-US"/>
        </w:rPr>
        <w:t>21</w:t>
      </w:r>
      <w:r w:rsidRPr="00465C5A">
        <w:rPr>
          <w:rFonts w:eastAsia="Calibri" w:cs="Arial"/>
          <w:sz w:val="22"/>
          <w:szCs w:val="22"/>
          <w:lang w:val="en-US"/>
        </w:rPr>
        <w:t>(2) pp.</w:t>
      </w:r>
      <w:r w:rsidRPr="00465C5A" w:rsidDel="007D4CC7">
        <w:rPr>
          <w:rFonts w:eastAsia="Calibri" w:cs="Arial"/>
          <w:sz w:val="22"/>
          <w:szCs w:val="22"/>
          <w:lang w:val="en-US"/>
        </w:rPr>
        <w:t>,</w:t>
      </w:r>
      <w:r w:rsidRPr="00465C5A">
        <w:rPr>
          <w:rFonts w:eastAsia="Calibri" w:cs="Arial"/>
          <w:sz w:val="22"/>
          <w:szCs w:val="22"/>
          <w:lang w:val="en-US"/>
        </w:rPr>
        <w:t xml:space="preserve"> 117–</w:t>
      </w:r>
      <w:r w:rsidRPr="00465C5A" w:rsidDel="007D4CC7">
        <w:rPr>
          <w:rFonts w:eastAsia="Calibri" w:cs="Arial"/>
          <w:sz w:val="22"/>
          <w:szCs w:val="22"/>
          <w:lang w:val="en-US"/>
        </w:rPr>
        <w:t>-</w:t>
      </w:r>
      <w:r w:rsidRPr="00465C5A">
        <w:rPr>
          <w:rFonts w:eastAsia="Calibri" w:cs="Arial"/>
          <w:sz w:val="22"/>
          <w:szCs w:val="22"/>
          <w:lang w:val="en-US"/>
        </w:rPr>
        <w:t>143.</w:t>
      </w:r>
    </w:p>
    <w:p w14:paraId="00062F44" w14:textId="77777777" w:rsidR="007B7B64" w:rsidRPr="00465C5A" w:rsidRDefault="007B7B64" w:rsidP="007B7B64">
      <w:pPr>
        <w:widowControl w:val="0"/>
        <w:spacing w:before="120" w:after="120" w:line="276" w:lineRule="auto"/>
        <w:rPr>
          <w:rFonts w:eastAsia="Calibri" w:cs="Arial"/>
          <w:color w:val="000000"/>
          <w:sz w:val="22"/>
          <w:szCs w:val="22"/>
          <w:lang w:val="en-US"/>
        </w:rPr>
      </w:pPr>
      <w:r w:rsidRPr="00465C5A">
        <w:rPr>
          <w:rFonts w:eastAsia="Calibri" w:cs="Arial"/>
          <w:b/>
          <w:color w:val="000000"/>
          <w:sz w:val="22"/>
          <w:szCs w:val="22"/>
          <w:lang w:val="en-US"/>
        </w:rPr>
        <w:t>Elmassri, M.</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M., Harris, E.</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P., &amp;</w:t>
      </w:r>
      <w:r w:rsidRPr="00465C5A" w:rsidDel="007D4CC7">
        <w:rPr>
          <w:rFonts w:eastAsia="Calibri" w:cs="Arial"/>
          <w:b/>
          <w:color w:val="000000"/>
          <w:sz w:val="22"/>
          <w:szCs w:val="22"/>
          <w:lang w:val="en-US"/>
        </w:rPr>
        <w:t xml:space="preserve"> and</w:t>
      </w:r>
      <w:r w:rsidRPr="00465C5A">
        <w:rPr>
          <w:rFonts w:eastAsia="Calibri" w:cs="Arial"/>
          <w:b/>
          <w:color w:val="000000"/>
          <w:sz w:val="22"/>
          <w:szCs w:val="22"/>
          <w:lang w:val="en-US"/>
        </w:rPr>
        <w:t xml:space="preserve"> Carter, D.</w:t>
      </w:r>
      <w:r w:rsidRPr="00465C5A" w:rsidDel="007D4CC7">
        <w:rPr>
          <w:rFonts w:eastAsia="Calibri" w:cs="Arial"/>
          <w:b/>
          <w:color w:val="000000"/>
          <w:sz w:val="22"/>
          <w:szCs w:val="22"/>
          <w:lang w:val="en-US"/>
        </w:rPr>
        <w:t xml:space="preserve"> </w:t>
      </w:r>
      <w:r w:rsidRPr="00465C5A">
        <w:rPr>
          <w:rFonts w:eastAsia="Calibri" w:cs="Arial"/>
          <w:b/>
          <w:color w:val="000000"/>
          <w:sz w:val="22"/>
          <w:szCs w:val="22"/>
          <w:lang w:val="en-US"/>
        </w:rPr>
        <w:t>B. (2016)</w:t>
      </w:r>
      <w:r w:rsidRPr="00465C5A">
        <w:rPr>
          <w:rFonts w:eastAsia="Calibri" w:cs="Arial"/>
          <w:color w:val="000000"/>
          <w:sz w:val="22"/>
          <w:szCs w:val="22"/>
          <w:lang w:val="en-US"/>
        </w:rPr>
        <w:t xml:space="preserve"> </w:t>
      </w:r>
      <w:r w:rsidRPr="00465C5A" w:rsidDel="007D4CC7">
        <w:rPr>
          <w:rFonts w:eastAsia="Calibri" w:cs="Arial"/>
          <w:color w:val="000000"/>
          <w:sz w:val="22"/>
          <w:szCs w:val="22"/>
          <w:lang w:val="en-US"/>
        </w:rPr>
        <w:t>“</w:t>
      </w:r>
      <w:r w:rsidRPr="00465C5A">
        <w:rPr>
          <w:rFonts w:eastAsia="Calibri" w:cs="Arial"/>
          <w:color w:val="000000"/>
          <w:sz w:val="22"/>
          <w:szCs w:val="22"/>
          <w:lang w:val="en-US"/>
        </w:rPr>
        <w:t>Accounting for strategic investment decision-making under extreme uncertainty</w:t>
      </w:r>
      <w:r w:rsidRPr="00465C5A" w:rsidDel="007D4CC7">
        <w:rPr>
          <w:rFonts w:eastAsia="Calibri" w:cs="Arial"/>
          <w:color w:val="000000"/>
          <w:sz w:val="22"/>
          <w:szCs w:val="22"/>
          <w:lang w:val="en-US"/>
        </w:rPr>
        <w:t>”</w:t>
      </w:r>
      <w:r w:rsidRPr="00465C5A" w:rsidDel="007D4CC7">
        <w:rPr>
          <w:rFonts w:eastAsia="Calibri" w:cs="Arial"/>
          <w:b/>
          <w:color w:val="000000"/>
          <w:sz w:val="22"/>
          <w:szCs w:val="22"/>
          <w:lang w:val="en-US"/>
        </w:rPr>
        <w:t>,</w:t>
      </w:r>
      <w:r w:rsidRPr="00465C5A" w:rsidDel="007D4CC7">
        <w:rPr>
          <w:rFonts w:eastAsia="Calibri" w:cs="Arial"/>
          <w:color w:val="000000"/>
          <w:sz w:val="22"/>
          <w:szCs w:val="22"/>
          <w:lang w:val="en-US"/>
        </w:rPr>
        <w:t> </w:t>
      </w:r>
      <w:r w:rsidRPr="00465C5A">
        <w:rPr>
          <w:rFonts w:eastAsia="Calibri" w:cs="Arial"/>
          <w:color w:val="000000"/>
          <w:sz w:val="22"/>
          <w:szCs w:val="22"/>
          <w:lang w:val="en-US"/>
        </w:rPr>
        <w:t>. </w:t>
      </w:r>
      <w:r w:rsidRPr="00465C5A">
        <w:rPr>
          <w:rFonts w:eastAsia="Calibri" w:cs="Arial"/>
          <w:i/>
          <w:iCs/>
          <w:color w:val="000000"/>
          <w:sz w:val="22"/>
          <w:szCs w:val="22"/>
          <w:lang w:val="en-US"/>
        </w:rPr>
        <w:t>British Accounting Review</w:t>
      </w:r>
      <w:r w:rsidRPr="00465C5A" w:rsidDel="007D4CC7">
        <w:rPr>
          <w:rFonts w:eastAsia="Calibri" w:cs="Arial"/>
          <w:color w:val="000000"/>
          <w:sz w:val="22"/>
          <w:szCs w:val="22"/>
          <w:lang w:val="en-US"/>
        </w:rPr>
        <w:t>,</w:t>
      </w:r>
      <w:r w:rsidRPr="00465C5A">
        <w:rPr>
          <w:rFonts w:eastAsia="Calibri" w:cs="Arial"/>
          <w:color w:val="000000"/>
          <w:sz w:val="22"/>
          <w:szCs w:val="22"/>
          <w:lang w:val="en-US"/>
        </w:rPr>
        <w:t xml:space="preserve"> 48(2) pp.</w:t>
      </w:r>
      <w:r w:rsidRPr="00465C5A" w:rsidDel="007D4CC7">
        <w:rPr>
          <w:rFonts w:eastAsia="Calibri" w:cs="Arial"/>
          <w:color w:val="000000"/>
          <w:sz w:val="22"/>
          <w:szCs w:val="22"/>
          <w:lang w:val="en-US"/>
        </w:rPr>
        <w:t>:</w:t>
      </w:r>
      <w:r w:rsidRPr="00465C5A">
        <w:rPr>
          <w:rFonts w:eastAsia="Calibri" w:cs="Arial"/>
          <w:color w:val="000000"/>
          <w:sz w:val="22"/>
          <w:szCs w:val="22"/>
          <w:lang w:val="en-US"/>
        </w:rPr>
        <w:t xml:space="preserve"> 151</w:t>
      </w:r>
      <w:r w:rsidRPr="00465C5A">
        <w:rPr>
          <w:rFonts w:eastAsia="Calibri" w:cs="Arial"/>
          <w:sz w:val="22"/>
          <w:szCs w:val="22"/>
          <w:lang w:val="en-US"/>
        </w:rPr>
        <w:t>–</w:t>
      </w:r>
      <w:r w:rsidRPr="00465C5A" w:rsidDel="007D4CC7">
        <w:rPr>
          <w:rFonts w:eastAsia="Calibri" w:cs="Arial"/>
          <w:color w:val="000000"/>
          <w:sz w:val="22"/>
          <w:szCs w:val="22"/>
          <w:lang w:val="en-US"/>
        </w:rPr>
        <w:t>-</w:t>
      </w:r>
      <w:r w:rsidRPr="00465C5A">
        <w:rPr>
          <w:rFonts w:eastAsia="Calibri" w:cs="Arial"/>
          <w:color w:val="000000"/>
          <w:sz w:val="22"/>
          <w:szCs w:val="22"/>
          <w:lang w:val="en-US"/>
        </w:rPr>
        <w:t>168.</w:t>
      </w:r>
    </w:p>
    <w:p w14:paraId="084FF263"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Emmanuel, C., Harris, E., &amp;</w:t>
      </w:r>
      <w:r w:rsidRPr="00465C5A" w:rsidDel="007D4CC7">
        <w:rPr>
          <w:rFonts w:eastAsia="Calibri" w:cs="Arial"/>
          <w:b/>
          <w:sz w:val="22"/>
          <w:szCs w:val="22"/>
          <w:lang w:val="en-US"/>
        </w:rPr>
        <w:t xml:space="preserve"> and</w:t>
      </w:r>
      <w:r w:rsidRPr="00465C5A">
        <w:rPr>
          <w:rFonts w:eastAsia="Calibri" w:cs="Arial"/>
          <w:b/>
          <w:sz w:val="22"/>
          <w:szCs w:val="22"/>
          <w:lang w:val="en-US"/>
        </w:rPr>
        <w:t xml:space="preserve"> Komakech, S.</w:t>
      </w:r>
      <w:r w:rsidRPr="00465C5A" w:rsidDel="007D4CC7">
        <w:rPr>
          <w:rFonts w:eastAsia="Calibri" w:cs="Arial"/>
          <w:b/>
          <w:sz w:val="22"/>
          <w:szCs w:val="22"/>
          <w:lang w:val="en-US"/>
        </w:rPr>
        <w:t>,</w:t>
      </w:r>
      <w:r w:rsidRPr="00465C5A">
        <w:rPr>
          <w:rFonts w:eastAsia="Calibri" w:cs="Arial"/>
          <w:b/>
          <w:sz w:val="22"/>
          <w:szCs w:val="22"/>
          <w:lang w:val="en-US"/>
        </w:rPr>
        <w:t xml:space="preserve"> (2010</w:t>
      </w:r>
      <w:r w:rsidRPr="00465C5A">
        <w:rPr>
          <w:rFonts w:eastAsia="Calibri" w:cs="Arial"/>
          <w:sz w:val="22"/>
          <w:szCs w:val="22"/>
          <w:lang w:val="en-US"/>
        </w:rPr>
        <w:t xml:space="preserve">) </w:t>
      </w:r>
      <w:r w:rsidRPr="00465C5A" w:rsidDel="007D4CC7">
        <w:rPr>
          <w:rFonts w:eastAsia="Calibri" w:cs="Arial"/>
          <w:sz w:val="22"/>
          <w:szCs w:val="22"/>
          <w:lang w:val="en-US"/>
        </w:rPr>
        <w:t>“</w:t>
      </w:r>
      <w:r w:rsidRPr="00465C5A">
        <w:rPr>
          <w:rFonts w:eastAsia="Calibri" w:cs="Arial"/>
          <w:sz w:val="22"/>
          <w:szCs w:val="22"/>
          <w:lang w:val="en-US"/>
        </w:rPr>
        <w:t>Towards a better understanding of capital investment decisions</w:t>
      </w:r>
      <w:r w:rsidRPr="00465C5A" w:rsidDel="007D4CC7">
        <w:rPr>
          <w:rFonts w:eastAsia="Calibri" w:cs="Arial"/>
          <w:sz w:val="22"/>
          <w:szCs w:val="22"/>
          <w:lang w:val="en-US"/>
        </w:rPr>
        <w:t xml:space="preserve">”, </w:t>
      </w:r>
      <w:r w:rsidRPr="00465C5A">
        <w:rPr>
          <w:rFonts w:eastAsia="Calibri" w:cs="Arial"/>
          <w:sz w:val="22"/>
          <w:szCs w:val="22"/>
          <w:lang w:val="en-US"/>
        </w:rPr>
        <w:t xml:space="preserve">. </w:t>
      </w:r>
      <w:r w:rsidRPr="00465C5A">
        <w:rPr>
          <w:rFonts w:eastAsia="Calibri" w:cs="Arial"/>
          <w:i/>
          <w:sz w:val="22"/>
          <w:szCs w:val="22"/>
          <w:lang w:val="en-US"/>
        </w:rPr>
        <w:t>Journal of Accounting and Organizational Change</w:t>
      </w:r>
      <w:r w:rsidRPr="00465C5A" w:rsidDel="007D4CC7">
        <w:rPr>
          <w:rFonts w:eastAsia="Calibri" w:cs="Arial"/>
          <w:sz w:val="22"/>
          <w:szCs w:val="22"/>
          <w:lang w:val="en-US"/>
        </w:rPr>
        <w:t>,</w:t>
      </w:r>
      <w:r w:rsidRPr="00465C5A">
        <w:rPr>
          <w:rFonts w:eastAsia="Calibri" w:cs="Arial"/>
          <w:sz w:val="22"/>
          <w:szCs w:val="22"/>
          <w:lang w:val="en-US"/>
        </w:rPr>
        <w:t xml:space="preserve"> 6(4) pp.</w:t>
      </w:r>
      <w:r w:rsidRPr="00465C5A" w:rsidDel="007D4CC7">
        <w:rPr>
          <w:rFonts w:eastAsia="Calibri" w:cs="Arial"/>
          <w:sz w:val="22"/>
          <w:szCs w:val="22"/>
          <w:lang w:val="en-US"/>
        </w:rPr>
        <w:t>:</w:t>
      </w:r>
      <w:r w:rsidRPr="00465C5A">
        <w:rPr>
          <w:rFonts w:eastAsia="Calibri" w:cs="Arial"/>
          <w:sz w:val="22"/>
          <w:szCs w:val="22"/>
          <w:lang w:val="en-US"/>
        </w:rPr>
        <w:t xml:space="preserve"> 477–</w:t>
      </w:r>
      <w:r w:rsidRPr="00465C5A" w:rsidDel="007D4CC7">
        <w:rPr>
          <w:rFonts w:eastAsia="Calibri" w:cs="Arial"/>
          <w:sz w:val="22"/>
          <w:szCs w:val="22"/>
          <w:lang w:val="en-US"/>
        </w:rPr>
        <w:t>-</w:t>
      </w:r>
      <w:r w:rsidRPr="00465C5A">
        <w:rPr>
          <w:rFonts w:eastAsia="Calibri" w:cs="Arial"/>
          <w:sz w:val="22"/>
          <w:szCs w:val="22"/>
          <w:lang w:val="en-US"/>
        </w:rPr>
        <w:t>504.</w:t>
      </w:r>
    </w:p>
    <w:p w14:paraId="7E1279A8" w14:textId="77777777" w:rsidR="007B7B64" w:rsidRPr="00465C5A" w:rsidRDefault="007B7B64" w:rsidP="007B7B64">
      <w:pPr>
        <w:widowControl w:val="0"/>
        <w:spacing w:before="120" w:after="120"/>
        <w:rPr>
          <w:rFonts w:eastAsia="Calibri" w:cs="Arial"/>
          <w:sz w:val="22"/>
          <w:szCs w:val="22"/>
        </w:rPr>
      </w:pPr>
      <w:r w:rsidRPr="00465C5A">
        <w:rPr>
          <w:rFonts w:eastAsia="Calibri" w:cs="Arial"/>
          <w:b/>
          <w:bCs/>
          <w:iCs/>
          <w:sz w:val="22"/>
          <w:szCs w:val="22"/>
          <w:lang w:val="en-US"/>
        </w:rPr>
        <w:t xml:space="preserve">Goetze, U., Northcott, D., &amp; Schuster, P. (2015) </w:t>
      </w:r>
      <w:r w:rsidRPr="00465C5A">
        <w:rPr>
          <w:rFonts w:eastAsia="Calibri" w:cs="Arial"/>
          <w:bCs/>
          <w:i/>
          <w:sz w:val="22"/>
          <w:szCs w:val="22"/>
          <w:lang w:val="en-US"/>
        </w:rPr>
        <w:t xml:space="preserve">Investment Appraisal Methods. </w:t>
      </w:r>
      <w:r w:rsidRPr="00465C5A">
        <w:rPr>
          <w:rFonts w:eastAsia="Calibri" w:cs="Arial"/>
          <w:bCs/>
          <w:sz w:val="22"/>
          <w:szCs w:val="22"/>
          <w:lang w:val="en-US"/>
        </w:rPr>
        <w:t>(2</w:t>
      </w:r>
      <w:r w:rsidRPr="00465C5A">
        <w:rPr>
          <w:rFonts w:eastAsia="Calibri" w:cs="Arial"/>
          <w:bCs/>
          <w:sz w:val="22"/>
          <w:szCs w:val="22"/>
          <w:vertAlign w:val="superscript"/>
          <w:lang w:val="en-US"/>
        </w:rPr>
        <w:t>nd</w:t>
      </w:r>
      <w:r w:rsidRPr="00465C5A">
        <w:rPr>
          <w:rFonts w:eastAsia="Calibri" w:cs="Arial"/>
          <w:bCs/>
          <w:sz w:val="22"/>
          <w:szCs w:val="22"/>
          <w:lang w:val="en-US"/>
        </w:rPr>
        <w:t xml:space="preserve"> ed.)</w:t>
      </w:r>
      <w:r w:rsidRPr="00465C5A">
        <w:rPr>
          <w:rFonts w:eastAsia="Calibri" w:cs="Arial"/>
          <w:bCs/>
          <w:iCs/>
          <w:sz w:val="22"/>
          <w:szCs w:val="22"/>
          <w:lang w:val="en-US"/>
        </w:rPr>
        <w:t xml:space="preserve"> Frankfurt: Kluwer Academic Publishers and Springer.</w:t>
      </w:r>
    </w:p>
    <w:p w14:paraId="25D22AA5"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rPr>
        <w:t>Harris, E. (2009)</w:t>
      </w:r>
      <w:r w:rsidRPr="00465C5A">
        <w:rPr>
          <w:rFonts w:eastAsia="Calibri" w:cs="Arial"/>
          <w:sz w:val="22"/>
          <w:szCs w:val="22"/>
        </w:rPr>
        <w:t xml:space="preserve"> Strategic Project Risk Appraisal and Management, Farnham, Gower.</w:t>
      </w:r>
    </w:p>
    <w:p w14:paraId="0ABAD316"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Emmanuel, C., &amp; Komakech, S. (2009</w:t>
      </w:r>
      <w:r w:rsidRPr="00465C5A">
        <w:rPr>
          <w:rFonts w:eastAsia="Calibri" w:cs="Arial"/>
          <w:sz w:val="22"/>
          <w:szCs w:val="22"/>
          <w:lang w:val="en-US"/>
        </w:rPr>
        <w:t>)</w:t>
      </w:r>
      <w:r w:rsidRPr="00465C5A">
        <w:rPr>
          <w:rFonts w:eastAsia="Calibri" w:cs="Arial"/>
          <w:bCs/>
          <w:i/>
          <w:sz w:val="22"/>
          <w:szCs w:val="22"/>
          <w:lang w:val="en-US"/>
        </w:rPr>
        <w:t xml:space="preserve"> Managerial Judgement and Strategic Investment Decisions</w:t>
      </w:r>
      <w:r w:rsidRPr="00465C5A">
        <w:rPr>
          <w:rFonts w:eastAsia="Calibri" w:cs="Arial"/>
          <w:sz w:val="22"/>
          <w:szCs w:val="22"/>
          <w:lang w:val="en-US"/>
        </w:rPr>
        <w:t>. Oxford: Elsevier.</w:t>
      </w:r>
    </w:p>
    <w:p w14:paraId="3C40AFFC"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&amp; El-Massri, M. (2011)</w:t>
      </w:r>
      <w:r w:rsidRPr="00465C5A">
        <w:rPr>
          <w:rFonts w:eastAsia="Calibri" w:cs="Arial"/>
          <w:sz w:val="22"/>
          <w:szCs w:val="22"/>
          <w:lang w:val="en-US"/>
        </w:rPr>
        <w:t xml:space="preserve"> Capital investment appraisal. </w:t>
      </w:r>
      <w:r w:rsidRPr="00465C5A">
        <w:rPr>
          <w:rFonts w:eastAsia="Calibri" w:cs="Arial"/>
          <w:sz w:val="22"/>
          <w:szCs w:val="22"/>
          <w:lang w:val="de-DE"/>
        </w:rPr>
        <w:t xml:space="preserve">In: Abdel-Kader, M. (ed.) </w:t>
      </w:r>
      <w:r w:rsidRPr="00465C5A">
        <w:rPr>
          <w:rFonts w:eastAsia="Calibri" w:cs="Arial"/>
          <w:i/>
          <w:sz w:val="22"/>
          <w:szCs w:val="22"/>
          <w:lang w:val="en-US"/>
        </w:rPr>
        <w:t>Review of Management Accounting Research</w:t>
      </w:r>
      <w:r w:rsidRPr="00465C5A">
        <w:rPr>
          <w:rFonts w:eastAsia="Calibri" w:cs="Arial"/>
          <w:b/>
          <w:sz w:val="22"/>
          <w:szCs w:val="22"/>
          <w:lang w:val="en-US"/>
        </w:rPr>
        <w:t xml:space="preserve">. </w:t>
      </w:r>
      <w:r w:rsidRPr="00465C5A">
        <w:rPr>
          <w:rFonts w:eastAsia="Calibri" w:cs="Arial"/>
          <w:sz w:val="22"/>
          <w:szCs w:val="22"/>
          <w:lang w:val="en-US"/>
        </w:rPr>
        <w:t>London: Palgrave. pp. 343–377.</w:t>
      </w:r>
    </w:p>
    <w:p w14:paraId="18AC2AD8" w14:textId="77777777" w:rsidR="007B7B64" w:rsidRPr="00465C5A" w:rsidRDefault="007B7B64" w:rsidP="007B7B64">
      <w:pPr>
        <w:widowControl w:val="0"/>
        <w:spacing w:before="120" w:after="120"/>
        <w:jc w:val="both"/>
        <w:rPr>
          <w:rFonts w:eastAsia="Calibri" w:cs="Arial"/>
          <w:color w:val="212121"/>
          <w:sz w:val="22"/>
          <w:szCs w:val="22"/>
          <w:lang w:val="en-US"/>
        </w:rPr>
      </w:pPr>
      <w:r w:rsidRPr="00465C5A">
        <w:rPr>
          <w:rFonts w:eastAsia="Calibri" w:cs="Arial"/>
          <w:b/>
          <w:color w:val="000000"/>
          <w:sz w:val="22"/>
          <w:szCs w:val="22"/>
          <w:lang w:val="en-US"/>
        </w:rPr>
        <w:t>Harris, E.P., Northcott, D., Elmassri, M.M., &amp; Huikku, J. (2016)</w:t>
      </w:r>
      <w:r w:rsidRPr="00465C5A">
        <w:rPr>
          <w:rFonts w:eastAsia="Calibri" w:cs="Arial"/>
          <w:color w:val="000000"/>
          <w:sz w:val="22"/>
          <w:szCs w:val="22"/>
          <w:lang w:val="en-US"/>
        </w:rPr>
        <w:t xml:space="preserve"> Theorising strategic investment decision-making using strong structuration theory. </w:t>
      </w:r>
      <w:r w:rsidRPr="00465C5A">
        <w:rPr>
          <w:rFonts w:eastAsia="Calibri" w:cs="Arial"/>
          <w:i/>
          <w:iCs/>
          <w:color w:val="000000"/>
          <w:sz w:val="22"/>
          <w:szCs w:val="22"/>
          <w:lang w:val="en-US"/>
        </w:rPr>
        <w:t>Accounting, Auditing &amp; Accountability Journal</w:t>
      </w:r>
      <w:r w:rsidRPr="00465C5A">
        <w:rPr>
          <w:rFonts w:eastAsia="Calibri" w:cs="Arial"/>
          <w:color w:val="000000"/>
          <w:sz w:val="22"/>
          <w:szCs w:val="22"/>
          <w:lang w:val="en-US"/>
        </w:rPr>
        <w:t xml:space="preserve"> 29(7) pp. 1177</w:t>
      </w:r>
      <w:r w:rsidRPr="00465C5A">
        <w:rPr>
          <w:rFonts w:eastAsia="Calibri" w:cs="Arial"/>
          <w:sz w:val="22"/>
          <w:szCs w:val="22"/>
          <w:lang w:val="en-US"/>
        </w:rPr>
        <w:t>–</w:t>
      </w:r>
      <w:r w:rsidRPr="00465C5A">
        <w:rPr>
          <w:rFonts w:eastAsia="Calibri" w:cs="Arial"/>
          <w:color w:val="000000"/>
          <w:sz w:val="22"/>
          <w:szCs w:val="22"/>
          <w:lang w:val="en-US"/>
        </w:rPr>
        <w:t>1203.</w:t>
      </w:r>
    </w:p>
    <w:p w14:paraId="1FF46136" w14:textId="77777777" w:rsidR="007B7B64" w:rsidRPr="00465C5A" w:rsidRDefault="007B7B64" w:rsidP="007B7B64">
      <w:pPr>
        <w:widowControl w:val="0"/>
        <w:spacing w:before="120" w:after="120"/>
        <w:rPr>
          <w:rFonts w:eastAsia="Calibri" w:cs="Arial"/>
          <w:sz w:val="22"/>
          <w:szCs w:val="22"/>
        </w:rPr>
      </w:pPr>
      <w:r w:rsidRPr="00465C5A">
        <w:rPr>
          <w:rFonts w:eastAsiaTheme="minorEastAsia" w:cs="Arial"/>
          <w:b/>
          <w:sz w:val="22"/>
          <w:szCs w:val="22"/>
        </w:rPr>
        <w:t>Institute of Chartered Accountants in England and Wales (2009)</w:t>
      </w:r>
      <w:r w:rsidRPr="00465C5A" w:rsidDel="007D4CC7">
        <w:rPr>
          <w:rFonts w:eastAsiaTheme="minorEastAsia" w:cs="Arial"/>
          <w:b/>
          <w:sz w:val="22"/>
          <w:szCs w:val="22"/>
        </w:rPr>
        <w:t>,</w:t>
      </w:r>
      <w:r w:rsidRPr="00465C5A">
        <w:rPr>
          <w:rFonts w:eastAsiaTheme="minorEastAsia" w:cs="Arial"/>
          <w:sz w:val="22"/>
          <w:szCs w:val="22"/>
        </w:rPr>
        <w:t xml:space="preserve"> </w:t>
      </w:r>
      <w:r w:rsidRPr="00465C5A">
        <w:rPr>
          <w:rFonts w:eastAsiaTheme="minorEastAsia" w:cs="Arial"/>
          <w:i/>
          <w:iCs/>
          <w:sz w:val="22"/>
          <w:szCs w:val="22"/>
        </w:rPr>
        <w:t xml:space="preserve">Investment Appraisal, Finance and Management special report. </w:t>
      </w:r>
      <w:r w:rsidRPr="00465C5A">
        <w:rPr>
          <w:rFonts w:eastAsiaTheme="minorEastAsia" w:cs="Arial"/>
          <w:iCs/>
          <w:sz w:val="22"/>
          <w:szCs w:val="22"/>
        </w:rPr>
        <w:t>SR27.</w:t>
      </w:r>
      <w:r w:rsidRPr="00465C5A" w:rsidDel="007D4CC7">
        <w:rPr>
          <w:rFonts w:eastAsiaTheme="minorEastAsia" w:cs="Arial"/>
          <w:iCs/>
          <w:sz w:val="22"/>
          <w:szCs w:val="22"/>
        </w:rPr>
        <w:t>,</w:t>
      </w:r>
      <w:r w:rsidRPr="00465C5A">
        <w:rPr>
          <w:rFonts w:eastAsiaTheme="minorEastAsia" w:cs="Arial"/>
          <w:iCs/>
          <w:sz w:val="22"/>
          <w:szCs w:val="22"/>
        </w:rPr>
        <w:t xml:space="preserve"> London: ICAEW.</w:t>
      </w:r>
    </w:p>
    <w:p w14:paraId="7D4205B1" w14:textId="77777777" w:rsidR="007B7B64" w:rsidRDefault="007B7B64" w:rsidP="007B7B64">
      <w:pPr>
        <w:spacing w:before="120" w:after="120"/>
        <w:rPr>
          <w:rFonts w:eastAsia="Calibri" w:cs="Arial"/>
          <w:b/>
          <w:szCs w:val="24"/>
        </w:rPr>
      </w:pPr>
    </w:p>
    <w:p w14:paraId="68E15687" w14:textId="77777777" w:rsidR="007B7B64" w:rsidRPr="00A06E0C" w:rsidRDefault="007B7B64" w:rsidP="007B7B64">
      <w:pPr>
        <w:spacing w:before="120" w:after="120"/>
        <w:rPr>
          <w:rFonts w:eastAsia="Calibri" w:cs="Arial"/>
          <w:b/>
          <w:szCs w:val="24"/>
        </w:rPr>
      </w:pPr>
      <w:r w:rsidRPr="00A06E0C">
        <w:rPr>
          <w:rFonts w:eastAsia="Calibri" w:cs="Arial"/>
          <w:b/>
          <w:szCs w:val="24"/>
        </w:rPr>
        <w:t>Recommended Reading</w:t>
      </w:r>
      <w:r>
        <w:rPr>
          <w:rFonts w:eastAsia="Calibri" w:cs="Arial"/>
          <w:b/>
          <w:szCs w:val="24"/>
        </w:rPr>
        <w:br/>
      </w:r>
    </w:p>
    <w:p w14:paraId="27C1635E" w14:textId="77777777" w:rsidR="007B7B64" w:rsidRPr="00465C5A" w:rsidRDefault="007B7B64" w:rsidP="007B7B64">
      <w:pPr>
        <w:widowControl w:val="0"/>
        <w:spacing w:before="120" w:after="120"/>
        <w:rPr>
          <w:rFonts w:eastAsia="Calibri" w:cs="Arial"/>
          <w:sz w:val="22"/>
          <w:szCs w:val="22"/>
        </w:rPr>
      </w:pPr>
      <w:r w:rsidRPr="00465C5A">
        <w:rPr>
          <w:rFonts w:eastAsia="Calibri" w:cs="Arial"/>
          <w:b/>
          <w:color w:val="000000"/>
          <w:sz w:val="22"/>
          <w:szCs w:val="22"/>
          <w:lang w:val="en-US"/>
        </w:rPr>
        <w:t>Bebbington, J. (2007)</w:t>
      </w:r>
      <w:r w:rsidRPr="00465C5A">
        <w:rPr>
          <w:rFonts w:eastAsia="Calibri" w:cs="Arial"/>
          <w:color w:val="000000"/>
          <w:sz w:val="22"/>
          <w:szCs w:val="22"/>
          <w:lang w:val="en-US"/>
        </w:rPr>
        <w:t xml:space="preserve"> </w:t>
      </w:r>
      <w:r w:rsidRPr="00465C5A">
        <w:rPr>
          <w:rFonts w:eastAsia="Calibri" w:cs="Arial"/>
          <w:i/>
          <w:color w:val="000000"/>
          <w:sz w:val="22"/>
          <w:szCs w:val="22"/>
          <w:lang w:val="en-US"/>
        </w:rPr>
        <w:t>Accounting for Sustainable Development Performance</w:t>
      </w:r>
      <w:r w:rsidRPr="00465C5A">
        <w:rPr>
          <w:rFonts w:eastAsia="Calibri" w:cs="Arial"/>
          <w:color w:val="000000"/>
          <w:sz w:val="22"/>
          <w:szCs w:val="22"/>
          <w:lang w:val="en-US"/>
        </w:rPr>
        <w:t>. Oxford:  Elsevier.</w:t>
      </w:r>
    </w:p>
    <w:p w14:paraId="410DDD52" w14:textId="77777777" w:rsidR="007B7B64" w:rsidRPr="00465C5A" w:rsidRDefault="007B7B64" w:rsidP="007B7B64">
      <w:pPr>
        <w:widowControl w:val="0"/>
        <w:autoSpaceDE w:val="0"/>
        <w:autoSpaceDN w:val="0"/>
        <w:adjustRightInd w:val="0"/>
        <w:spacing w:before="120" w:after="120" w:line="276" w:lineRule="auto"/>
        <w:rPr>
          <w:rFonts w:eastAsia="Calibri" w:cs="Arial"/>
          <w:sz w:val="22"/>
          <w:szCs w:val="22"/>
          <w:lang w:val="en-US"/>
        </w:rPr>
      </w:pPr>
      <w:r w:rsidRPr="00465C5A">
        <w:rPr>
          <w:rFonts w:eastAsia="Calibri" w:cs="Arial"/>
          <w:b/>
          <w:sz w:val="22"/>
          <w:szCs w:val="22"/>
          <w:lang w:val="en-US"/>
        </w:rPr>
        <w:t>Thomas, M.P. &amp; McElroy, M.W. (2016)</w:t>
      </w:r>
      <w:r w:rsidRPr="00465C5A">
        <w:rPr>
          <w:rFonts w:eastAsia="Calibri" w:cs="Arial"/>
          <w:sz w:val="22"/>
          <w:szCs w:val="22"/>
          <w:lang w:val="en-US"/>
        </w:rPr>
        <w:t xml:space="preserve"> </w:t>
      </w:r>
      <w:r w:rsidRPr="00465C5A">
        <w:rPr>
          <w:rFonts w:eastAsia="Calibri" w:cs="Arial"/>
          <w:i/>
          <w:sz w:val="22"/>
          <w:szCs w:val="22"/>
          <w:lang w:val="en-US"/>
        </w:rPr>
        <w:t>The MultiCapital Scorecard: Rethinking Organizational Performance</w:t>
      </w:r>
      <w:r w:rsidRPr="00465C5A">
        <w:rPr>
          <w:rFonts w:eastAsia="Calibri" w:cs="Arial"/>
          <w:sz w:val="22"/>
          <w:szCs w:val="22"/>
          <w:lang w:val="en-US"/>
        </w:rPr>
        <w:t>. Vermont: Chelsea Green Publishing.</w:t>
      </w:r>
    </w:p>
    <w:p w14:paraId="4BF07A44" w14:textId="77777777" w:rsidR="007B7B64" w:rsidRPr="00465C5A" w:rsidRDefault="007B7B64" w:rsidP="007B7B64">
      <w:pPr>
        <w:widowControl w:val="0"/>
        <w:autoSpaceDE w:val="0"/>
        <w:autoSpaceDN w:val="0"/>
        <w:adjustRightInd w:val="0"/>
        <w:spacing w:before="120" w:after="120"/>
        <w:jc w:val="both"/>
        <w:rPr>
          <w:rFonts w:eastAsia="Calibri" w:cs="Arial"/>
          <w:sz w:val="22"/>
          <w:szCs w:val="22"/>
          <w:lang w:val="en-US"/>
        </w:rPr>
      </w:pPr>
      <w:r w:rsidRPr="00465C5A">
        <w:rPr>
          <w:rFonts w:eastAsia="Calibri" w:cs="Arial"/>
          <w:b/>
          <w:sz w:val="22"/>
          <w:szCs w:val="22"/>
          <w:lang w:val="en-US"/>
        </w:rPr>
        <w:t>Haka, S.F. (2007)</w:t>
      </w:r>
      <w:r w:rsidRPr="00465C5A">
        <w:rPr>
          <w:rFonts w:eastAsia="Calibri" w:cs="Arial"/>
          <w:sz w:val="22"/>
          <w:szCs w:val="22"/>
          <w:lang w:val="en-US"/>
        </w:rPr>
        <w:t xml:space="preserve"> A review of the literature on capital budgeting and investment appraisal: Past present and future musings. In: Chapman, C., Hopwood, A., &amp; Shields, M. (eds.)</w:t>
      </w:r>
      <w:r w:rsidRPr="00465C5A">
        <w:rPr>
          <w:rFonts w:eastAsia="Calibri" w:cs="Arial"/>
          <w:i/>
          <w:sz w:val="22"/>
          <w:szCs w:val="22"/>
          <w:lang w:val="en-US"/>
        </w:rPr>
        <w:t xml:space="preserve"> Handbook of Management Accounting Research</w:t>
      </w:r>
      <w:r w:rsidRPr="00465C5A">
        <w:rPr>
          <w:rFonts w:eastAsia="Calibri" w:cs="Arial"/>
          <w:sz w:val="22"/>
          <w:szCs w:val="22"/>
          <w:lang w:val="en-US"/>
        </w:rPr>
        <w:t>, Vol. 2. Amsterdam: Elsevier. pp. 697–728.</w:t>
      </w:r>
    </w:p>
    <w:p w14:paraId="638F569F"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bidi="en-US"/>
        </w:rPr>
        <w:t>Harris, E (2014)</w:t>
      </w:r>
      <w:r w:rsidRPr="00465C5A">
        <w:rPr>
          <w:rFonts w:eastAsia="Calibri" w:cs="Arial"/>
          <w:sz w:val="22"/>
          <w:szCs w:val="22"/>
          <w:lang w:val="en-US" w:bidi="en-US"/>
        </w:rPr>
        <w:t xml:space="preserve"> Feel the risk: Strategic investment decisions in an uncertain world. In:  Otley, D. &amp; Soin, K. (eds) </w:t>
      </w:r>
      <w:r w:rsidRPr="00465C5A">
        <w:rPr>
          <w:rFonts w:eastAsia="Calibri" w:cs="Arial"/>
          <w:i/>
          <w:sz w:val="22"/>
          <w:szCs w:val="22"/>
          <w:lang w:val="en-US"/>
        </w:rPr>
        <w:t>Management Control and Uncertainty</w:t>
      </w:r>
      <w:r w:rsidRPr="00465C5A">
        <w:rPr>
          <w:rFonts w:eastAsia="Calibri" w:cs="Arial"/>
          <w:sz w:val="22"/>
          <w:szCs w:val="22"/>
          <w:lang w:val="en-US"/>
        </w:rPr>
        <w:t xml:space="preserve">. </w:t>
      </w:r>
      <w:r w:rsidRPr="00465C5A">
        <w:rPr>
          <w:rFonts w:eastAsia="Calibri" w:cs="Arial"/>
          <w:sz w:val="22"/>
          <w:szCs w:val="22"/>
          <w:lang w:val="en-US" w:bidi="en-US"/>
        </w:rPr>
        <w:t>Basingstoke</w:t>
      </w:r>
      <w:r w:rsidRPr="00465C5A">
        <w:rPr>
          <w:rFonts w:eastAsia="Calibri" w:cs="Arial"/>
          <w:sz w:val="22"/>
          <w:szCs w:val="22"/>
          <w:lang w:val="en-US"/>
        </w:rPr>
        <w:t>: Palgrave Macmillan. pp. 162–177.</w:t>
      </w:r>
    </w:p>
    <w:p w14:paraId="0CFAFC63" w14:textId="77777777" w:rsidR="007B7B64" w:rsidRPr="00465C5A" w:rsidRDefault="007B7B64" w:rsidP="007B7B64">
      <w:pPr>
        <w:widowControl w:val="0"/>
        <w:spacing w:before="120" w:after="120"/>
        <w:rPr>
          <w:rFonts w:eastAsia="Calibri" w:cs="Arial"/>
          <w:sz w:val="22"/>
          <w:szCs w:val="22"/>
        </w:rPr>
      </w:pPr>
      <w:r w:rsidRPr="00465C5A">
        <w:rPr>
          <w:rFonts w:eastAsiaTheme="minorEastAsia" w:cs="Arial"/>
          <w:b/>
          <w:sz w:val="22"/>
          <w:szCs w:val="22"/>
        </w:rPr>
        <w:t>Harris, E. (2011).</w:t>
      </w:r>
      <w:r w:rsidRPr="00465C5A">
        <w:rPr>
          <w:rFonts w:eastAsiaTheme="minorEastAsia" w:cs="Arial"/>
          <w:sz w:val="22"/>
          <w:szCs w:val="22"/>
        </w:rPr>
        <w:t xml:space="preserve"> </w:t>
      </w:r>
      <w:r w:rsidRPr="00465C5A">
        <w:rPr>
          <w:rFonts w:eastAsiaTheme="minorEastAsia" w:cs="Arial"/>
          <w:i/>
          <w:iCs/>
          <w:sz w:val="22"/>
          <w:szCs w:val="22"/>
        </w:rPr>
        <w:t>Project Management: Finance &amp; Management special report.</w:t>
      </w:r>
      <w:r w:rsidRPr="00465C5A">
        <w:rPr>
          <w:rFonts w:eastAsiaTheme="minorEastAsia" w:cs="Arial"/>
          <w:iCs/>
          <w:sz w:val="22"/>
          <w:szCs w:val="22"/>
        </w:rPr>
        <w:t xml:space="preserve"> SR33</w:t>
      </w:r>
      <w:r w:rsidRPr="00465C5A">
        <w:rPr>
          <w:rFonts w:eastAsiaTheme="minorEastAsia" w:cs="Arial"/>
          <w:sz w:val="22"/>
          <w:szCs w:val="22"/>
        </w:rPr>
        <w:t>, ICAEW.</w:t>
      </w:r>
    </w:p>
    <w:p w14:paraId="2AF61015" w14:textId="478A805D" w:rsidR="007B7B64" w:rsidRPr="00A42AD2" w:rsidRDefault="007B7B64" w:rsidP="00A42AD2">
      <w:pPr>
        <w:spacing w:before="120" w:after="120"/>
        <w:rPr>
          <w:rFonts w:eastAsia="Calibri" w:cs="Arial"/>
          <w:b/>
          <w:sz w:val="20"/>
        </w:rPr>
      </w:pPr>
      <w:r w:rsidRPr="00A42AD2">
        <w:rPr>
          <w:rFonts w:eastAsia="Calibri" w:cs="Arial"/>
          <w:b/>
          <w:szCs w:val="24"/>
          <w:u w:val="single"/>
        </w:rPr>
        <w:t>Further reading</w:t>
      </w:r>
      <w:r>
        <w:rPr>
          <w:rFonts w:eastAsia="Calibri" w:cs="Arial"/>
          <w:b/>
          <w:szCs w:val="24"/>
        </w:rPr>
        <w:br/>
      </w:r>
      <w:r w:rsidRPr="00465C5A">
        <w:rPr>
          <w:rFonts w:cs="Arial"/>
          <w:b/>
          <w:sz w:val="22"/>
          <w:szCs w:val="22"/>
          <w:lang w:val="en-US"/>
        </w:rPr>
        <w:t>Busco, C., Frigo, M.L., Quattrone, P., &amp; Riccaboni, A. (2013)</w:t>
      </w:r>
      <w:r w:rsidRPr="00465C5A">
        <w:rPr>
          <w:rFonts w:cs="Arial"/>
          <w:sz w:val="22"/>
          <w:szCs w:val="22"/>
          <w:lang w:val="en-US"/>
        </w:rPr>
        <w:t xml:space="preserve"> </w:t>
      </w:r>
      <w:r w:rsidRPr="00465C5A">
        <w:rPr>
          <w:rFonts w:cs="Arial"/>
          <w:i/>
          <w:sz w:val="22"/>
          <w:szCs w:val="22"/>
          <w:lang w:val="en-US"/>
        </w:rPr>
        <w:t xml:space="preserve">Integrated reporting: </w:t>
      </w:r>
      <w:r w:rsidRPr="00465C5A">
        <w:rPr>
          <w:rFonts w:cs="Arial"/>
          <w:i/>
          <w:iCs/>
          <w:sz w:val="22"/>
          <w:szCs w:val="22"/>
          <w:lang w:val="en-US"/>
        </w:rPr>
        <w:t>Concepts and Cases that Redefine Corporate</w:t>
      </w:r>
      <w:r w:rsidRPr="00465C5A">
        <w:rPr>
          <w:rFonts w:cs="Arial"/>
          <w:i/>
          <w:sz w:val="22"/>
          <w:szCs w:val="22"/>
          <w:lang w:val="en-US"/>
        </w:rPr>
        <w:t xml:space="preserve"> Accountability</w:t>
      </w:r>
      <w:r w:rsidRPr="00465C5A">
        <w:rPr>
          <w:rFonts w:cs="Arial"/>
          <w:sz w:val="22"/>
          <w:szCs w:val="22"/>
          <w:lang w:val="en-US"/>
        </w:rPr>
        <w:t>. Switzerland: Springer.</w:t>
      </w:r>
    </w:p>
    <w:p w14:paraId="3CD3B59E"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(2007)</w:t>
      </w:r>
      <w:r w:rsidRPr="00465C5A">
        <w:rPr>
          <w:rFonts w:eastAsia="Calibri" w:cs="Arial"/>
          <w:sz w:val="22"/>
          <w:szCs w:val="22"/>
          <w:lang w:val="en-US"/>
        </w:rPr>
        <w:t xml:space="preserve"> How Managers Construe Risk in Business Acquisitions. </w:t>
      </w:r>
      <w:r w:rsidRPr="00465C5A">
        <w:rPr>
          <w:rFonts w:eastAsia="Calibri" w:cs="Arial"/>
          <w:i/>
          <w:sz w:val="22"/>
          <w:szCs w:val="22"/>
          <w:lang w:val="en-US"/>
        </w:rPr>
        <w:t>International Journal of Risk Assessment and Management</w:t>
      </w:r>
      <w:r w:rsidRPr="00465C5A">
        <w:rPr>
          <w:rFonts w:eastAsia="Calibri" w:cs="Arial"/>
          <w:sz w:val="22"/>
          <w:szCs w:val="22"/>
          <w:lang w:val="en-US"/>
        </w:rPr>
        <w:t xml:space="preserve"> 7(8) pp. 1057–1073.</w:t>
      </w:r>
    </w:p>
    <w:p w14:paraId="20EB4CE3" w14:textId="77777777" w:rsidR="007B7B64" w:rsidRPr="00465C5A" w:rsidRDefault="007B7B64" w:rsidP="007B7B64">
      <w:pPr>
        <w:widowControl w:val="0"/>
        <w:spacing w:before="120" w:after="120"/>
        <w:rPr>
          <w:rFonts w:eastAsia="Calibri" w:cs="Arial"/>
          <w:sz w:val="22"/>
          <w:szCs w:val="22"/>
        </w:rPr>
      </w:pPr>
      <w:r w:rsidRPr="00465C5A">
        <w:rPr>
          <w:rFonts w:eastAsia="Calibri" w:cs="Arial"/>
          <w:b/>
          <w:sz w:val="22"/>
          <w:szCs w:val="22"/>
          <w:lang w:val="en-US"/>
        </w:rPr>
        <w:t>Harris, E. (2000)</w:t>
      </w:r>
      <w:r w:rsidRPr="00465C5A">
        <w:rPr>
          <w:rFonts w:eastAsia="Calibri" w:cs="Arial"/>
          <w:sz w:val="22"/>
          <w:szCs w:val="22"/>
          <w:lang w:val="en-US"/>
        </w:rPr>
        <w:t xml:space="preserve"> Strategic investment decision-making: Managerial judgement on project risk and return. </w:t>
      </w:r>
      <w:r w:rsidRPr="00465C5A">
        <w:rPr>
          <w:rFonts w:eastAsia="Calibri" w:cs="Arial"/>
          <w:i/>
          <w:sz w:val="22"/>
          <w:szCs w:val="22"/>
          <w:lang w:val="en-US"/>
        </w:rPr>
        <w:t>Journal of Applied Accounting Research</w:t>
      </w:r>
      <w:r w:rsidRPr="00465C5A">
        <w:rPr>
          <w:rFonts w:eastAsia="Calibri" w:cs="Arial"/>
          <w:sz w:val="22"/>
          <w:szCs w:val="22"/>
          <w:lang w:val="en-US"/>
        </w:rPr>
        <w:t xml:space="preserve"> 5(3) pp. 87–110.</w:t>
      </w:r>
    </w:p>
    <w:p w14:paraId="7DF155CF" w14:textId="77777777" w:rsidR="007B7B64" w:rsidRPr="002011D0" w:rsidRDefault="007B7B64" w:rsidP="007B7B64">
      <w:pPr>
        <w:jc w:val="both"/>
        <w:rPr>
          <w:rFonts w:cs="Arial"/>
        </w:rPr>
      </w:pPr>
      <w:r w:rsidRPr="00465C5A">
        <w:rPr>
          <w:rFonts w:eastAsia="Calibri" w:cs="Arial"/>
          <w:b/>
          <w:sz w:val="22"/>
          <w:szCs w:val="22"/>
          <w:lang w:val="en-US"/>
        </w:rPr>
        <w:lastRenderedPageBreak/>
        <w:t>Harris, E. (1999</w:t>
      </w:r>
      <w:r w:rsidRPr="00465C5A">
        <w:rPr>
          <w:rFonts w:eastAsia="Calibri" w:cs="Arial"/>
          <w:b/>
          <w:spacing w:val="-3"/>
          <w:sz w:val="22"/>
          <w:szCs w:val="22"/>
          <w:lang w:val="en-US"/>
        </w:rPr>
        <w:t>)</w:t>
      </w:r>
      <w:r w:rsidRPr="00465C5A">
        <w:rPr>
          <w:rFonts w:eastAsia="Calibri" w:cs="Arial"/>
          <w:spacing w:val="-3"/>
          <w:sz w:val="22"/>
          <w:szCs w:val="22"/>
          <w:lang w:val="en-US"/>
        </w:rPr>
        <w:t xml:space="preserve"> </w:t>
      </w:r>
      <w:r w:rsidRPr="00465C5A">
        <w:rPr>
          <w:rFonts w:eastAsia="Calibri" w:cs="Arial"/>
          <w:sz w:val="22"/>
          <w:szCs w:val="22"/>
          <w:lang w:val="en-US"/>
        </w:rPr>
        <w:t xml:space="preserve">Project risk assessment: A European Field Study. </w:t>
      </w:r>
      <w:r w:rsidRPr="00465C5A">
        <w:rPr>
          <w:rFonts w:eastAsia="Calibri" w:cs="Arial"/>
          <w:i/>
          <w:sz w:val="22"/>
          <w:szCs w:val="22"/>
          <w:lang w:val="en-US"/>
        </w:rPr>
        <w:t>British Accounting Review</w:t>
      </w:r>
      <w:r w:rsidRPr="00465C5A">
        <w:rPr>
          <w:rFonts w:eastAsia="Calibri" w:cs="Arial"/>
          <w:sz w:val="22"/>
          <w:szCs w:val="22"/>
          <w:lang w:val="en-US"/>
        </w:rPr>
        <w:t xml:space="preserve"> 31(3) pp. 347–371.</w:t>
      </w:r>
    </w:p>
    <w:p w14:paraId="2E75F2FE" w14:textId="77777777" w:rsidR="007B7B64" w:rsidRPr="00465C5A" w:rsidRDefault="007B7B64" w:rsidP="007B7B64">
      <w:pPr>
        <w:widowControl w:val="0"/>
        <w:spacing w:before="120" w:after="120"/>
        <w:jc w:val="both"/>
        <w:rPr>
          <w:rFonts w:eastAsia="Calibri" w:cs="Arial"/>
          <w:sz w:val="22"/>
          <w:szCs w:val="22"/>
          <w:lang w:val="en-US"/>
        </w:rPr>
      </w:pPr>
      <w:r w:rsidRPr="00465C5A">
        <w:rPr>
          <w:rFonts w:eastAsia="Calibri" w:cs="Arial"/>
          <w:b/>
          <w:sz w:val="22"/>
          <w:szCs w:val="22"/>
          <w:lang w:val="en-US"/>
        </w:rPr>
        <w:t>Harris, E., Hoang, T., &amp; Ngan, G. (2018)</w:t>
      </w:r>
      <w:r w:rsidRPr="00465C5A">
        <w:rPr>
          <w:rFonts w:eastAsia="Calibri" w:cs="Arial"/>
          <w:sz w:val="22"/>
          <w:szCs w:val="22"/>
          <w:lang w:val="en-US"/>
        </w:rPr>
        <w:t xml:space="preserve"> Accounting for capital investment appraisal: Time for a radical change? In: Quinn, M. &amp; Strauss, E. (eds.)</w:t>
      </w:r>
      <w:r w:rsidRPr="00465C5A">
        <w:rPr>
          <w:rFonts w:eastAsia="Calibri" w:cs="Arial"/>
          <w:i/>
          <w:sz w:val="22"/>
          <w:szCs w:val="22"/>
          <w:lang w:val="en-US"/>
        </w:rPr>
        <w:t xml:space="preserve"> Routledge Companion to Accounting Information Systems</w:t>
      </w:r>
      <w:r w:rsidRPr="00465C5A">
        <w:rPr>
          <w:rFonts w:eastAsia="Calibri" w:cs="Arial"/>
          <w:sz w:val="22"/>
          <w:szCs w:val="22"/>
          <w:lang w:val="en-US"/>
        </w:rPr>
        <w:t>. Abingdon: Routledge. pp.173–189.</w:t>
      </w:r>
    </w:p>
    <w:p w14:paraId="7DF7B96F" w14:textId="77777777" w:rsidR="007B7B64" w:rsidRPr="00A42AD2" w:rsidRDefault="007B7B64" w:rsidP="007B7B64">
      <w:pPr>
        <w:rPr>
          <w:rFonts w:cs="Arial"/>
          <w:b/>
          <w:color w:val="006600"/>
          <w:sz w:val="6"/>
          <w:szCs w:val="6"/>
        </w:rPr>
      </w:pPr>
    </w:p>
    <w:p w14:paraId="2391DC40" w14:textId="77777777" w:rsidR="007B7B64" w:rsidRDefault="007B7B64" w:rsidP="007B7B64">
      <w:pPr>
        <w:rPr>
          <w:rFonts w:cs="Arial"/>
          <w:b/>
          <w:color w:val="006600"/>
          <w:sz w:val="26"/>
          <w:szCs w:val="26"/>
        </w:rPr>
      </w:pPr>
      <w:r w:rsidRPr="00EE4318">
        <w:rPr>
          <w:rFonts w:cs="Arial"/>
          <w:b/>
          <w:color w:val="006600"/>
          <w:sz w:val="26"/>
          <w:szCs w:val="26"/>
        </w:rPr>
        <w:t>How will your work be assessed?</w:t>
      </w:r>
    </w:p>
    <w:p w14:paraId="2DBB3FB8" w14:textId="77777777" w:rsidR="007B7B64" w:rsidRPr="00A42AD2" w:rsidRDefault="007B7B64" w:rsidP="007B7B64">
      <w:pPr>
        <w:rPr>
          <w:rFonts w:cs="Arial"/>
          <w:b/>
          <w:color w:val="006600"/>
          <w:sz w:val="14"/>
          <w:szCs w:val="14"/>
        </w:rPr>
      </w:pPr>
    </w:p>
    <w:p w14:paraId="03883FBA" w14:textId="77777777" w:rsidR="007B7B64" w:rsidRDefault="007B7B64" w:rsidP="007B7B64">
      <w:pPr>
        <w:jc w:val="both"/>
        <w:rPr>
          <w:rFonts w:cs="Arial"/>
          <w:sz w:val="22"/>
          <w:szCs w:val="22"/>
        </w:rPr>
      </w:pPr>
      <w:r w:rsidRPr="008D291E">
        <w:rPr>
          <w:rFonts w:cs="Arial"/>
          <w:sz w:val="22"/>
          <w:szCs w:val="22"/>
        </w:rPr>
        <w:t xml:space="preserve">Your work will be assessed by a subject expert who will use </w:t>
      </w:r>
      <w:r>
        <w:rPr>
          <w:rFonts w:cs="Arial"/>
          <w:sz w:val="22"/>
          <w:szCs w:val="22"/>
        </w:rPr>
        <w:t xml:space="preserve">either </w:t>
      </w:r>
      <w:r w:rsidRPr="008D291E">
        <w:rPr>
          <w:rFonts w:cs="Arial"/>
          <w:sz w:val="22"/>
          <w:szCs w:val="22"/>
        </w:rPr>
        <w:t xml:space="preserve">the marking </w:t>
      </w:r>
      <w:r>
        <w:rPr>
          <w:rFonts w:cs="Arial"/>
          <w:sz w:val="22"/>
          <w:szCs w:val="22"/>
        </w:rPr>
        <w:t>criteria provided in the section “Instructions for assessment”</w:t>
      </w:r>
      <w:r w:rsidRPr="008D291E">
        <w:rPr>
          <w:rFonts w:cs="Arial"/>
          <w:sz w:val="22"/>
          <w:szCs w:val="22"/>
        </w:rPr>
        <w:t xml:space="preserve"> </w:t>
      </w:r>
      <w:r>
        <w:rPr>
          <w:rFonts w:cs="Arial"/>
          <w:sz w:val="22"/>
          <w:szCs w:val="22"/>
        </w:rPr>
        <w:t xml:space="preserve">or the Marking rubric enclosed in the Appendix, as appropriate for this module. </w:t>
      </w:r>
      <w:r w:rsidRPr="008D291E">
        <w:rPr>
          <w:rFonts w:cs="Arial"/>
          <w:sz w:val="22"/>
          <w:szCs w:val="22"/>
        </w:rPr>
        <w:t>When you access your marked work it is important that you reflect on the feedback so that you can use it to improve future assignments.</w:t>
      </w:r>
    </w:p>
    <w:p w14:paraId="1D0179CC" w14:textId="77777777" w:rsidR="007B7B64" w:rsidRPr="00A42AD2" w:rsidRDefault="007B7B64" w:rsidP="007B7B64">
      <w:pPr>
        <w:rPr>
          <w:rFonts w:cs="Arial"/>
          <w:b/>
          <w:color w:val="006600"/>
          <w:sz w:val="12"/>
          <w:szCs w:val="12"/>
        </w:rPr>
      </w:pPr>
    </w:p>
    <w:p w14:paraId="5CAA3590" w14:textId="77777777" w:rsidR="007B7B64" w:rsidRDefault="007B7B64" w:rsidP="007B7B64">
      <w:pPr>
        <w:rPr>
          <w:rFonts w:cs="Arial"/>
          <w:b/>
          <w:color w:val="006600"/>
          <w:sz w:val="26"/>
          <w:szCs w:val="26"/>
        </w:rPr>
      </w:pPr>
      <w:r w:rsidRPr="00EE4318">
        <w:rPr>
          <w:rFonts w:cs="Arial"/>
          <w:b/>
          <w:color w:val="006600"/>
          <w:sz w:val="26"/>
          <w:szCs w:val="26"/>
        </w:rPr>
        <w:t>Referencing</w:t>
      </w:r>
      <w:r>
        <w:rPr>
          <w:rFonts w:cs="Arial"/>
          <w:b/>
          <w:color w:val="006600"/>
          <w:sz w:val="26"/>
          <w:szCs w:val="26"/>
        </w:rPr>
        <w:t xml:space="preserve"> and submission</w:t>
      </w:r>
    </w:p>
    <w:p w14:paraId="08D5C6D5" w14:textId="77777777" w:rsidR="007B7B64" w:rsidRPr="003063A8" w:rsidRDefault="007B7B64" w:rsidP="007B7B64">
      <w:pPr>
        <w:rPr>
          <w:rFonts w:cs="Arial"/>
          <w:b/>
          <w:color w:val="006600"/>
          <w:sz w:val="16"/>
          <w:szCs w:val="16"/>
        </w:rPr>
      </w:pPr>
    </w:p>
    <w:p w14:paraId="0C3993FA" w14:textId="77777777" w:rsidR="007B7B64" w:rsidRDefault="007B7B64" w:rsidP="007B7B64">
      <w:pPr>
        <w:rPr>
          <w:rFonts w:cs="Arial"/>
          <w:sz w:val="22"/>
          <w:szCs w:val="22"/>
        </w:rPr>
      </w:pPr>
      <w:r w:rsidRPr="008D291E">
        <w:rPr>
          <w:rFonts w:cs="Arial"/>
          <w:sz w:val="22"/>
          <w:szCs w:val="22"/>
        </w:rPr>
        <w:t xml:space="preserve">You </w:t>
      </w:r>
      <w:r>
        <w:rPr>
          <w:rFonts w:cs="Arial"/>
          <w:sz w:val="22"/>
          <w:szCs w:val="22"/>
        </w:rPr>
        <w:t xml:space="preserve">must </w:t>
      </w:r>
      <w:r w:rsidRPr="008D291E">
        <w:rPr>
          <w:rFonts w:cs="Arial"/>
          <w:sz w:val="22"/>
          <w:szCs w:val="22"/>
        </w:rPr>
        <w:t xml:space="preserve">use the </w:t>
      </w:r>
      <w:r w:rsidRPr="008D291E">
        <w:rPr>
          <w:rFonts w:cs="Arial"/>
          <w:b/>
          <w:sz w:val="22"/>
          <w:szCs w:val="22"/>
        </w:rPr>
        <w:t>Harvard System</w:t>
      </w:r>
      <w:r w:rsidRPr="008D291E">
        <w:rPr>
          <w:rFonts w:cs="Arial"/>
          <w:sz w:val="22"/>
          <w:szCs w:val="22"/>
        </w:rPr>
        <w:t>.</w:t>
      </w:r>
    </w:p>
    <w:p w14:paraId="17EE92F2" w14:textId="77777777" w:rsidR="007B7B64" w:rsidRPr="00A42AD2" w:rsidRDefault="007B7B64" w:rsidP="007B7B64">
      <w:pPr>
        <w:rPr>
          <w:rFonts w:cs="Arial"/>
          <w:sz w:val="14"/>
          <w:szCs w:val="14"/>
        </w:rPr>
      </w:pPr>
    </w:p>
    <w:p w14:paraId="36881F70" w14:textId="77777777" w:rsidR="007B7B64" w:rsidRPr="008D291E" w:rsidRDefault="007B7B64" w:rsidP="007B7B64">
      <w:pPr>
        <w:jc w:val="both"/>
        <w:rPr>
          <w:rFonts w:cs="Arial"/>
          <w:sz w:val="22"/>
          <w:szCs w:val="22"/>
        </w:rPr>
      </w:pPr>
      <w:r w:rsidRPr="008D291E">
        <w:rPr>
          <w:rFonts w:cs="Arial"/>
          <w:sz w:val="22"/>
          <w:szCs w:val="22"/>
        </w:rPr>
        <w:t xml:space="preserve">The Business School requires a digital version </w:t>
      </w:r>
      <w:r>
        <w:rPr>
          <w:rFonts w:cs="Arial"/>
          <w:sz w:val="22"/>
          <w:szCs w:val="22"/>
        </w:rPr>
        <w:t xml:space="preserve">of all assignment submissions. </w:t>
      </w:r>
      <w:r w:rsidRPr="008D291E">
        <w:rPr>
          <w:rFonts w:cs="Arial"/>
          <w:sz w:val="22"/>
          <w:szCs w:val="22"/>
        </w:rPr>
        <w:t>These must be submitted via Turniti</w:t>
      </w:r>
      <w:r>
        <w:rPr>
          <w:rFonts w:cs="Arial"/>
          <w:sz w:val="22"/>
          <w:szCs w:val="22"/>
        </w:rPr>
        <w:t xml:space="preserve">n on the module’s Moodle site. </w:t>
      </w:r>
      <w:r w:rsidRPr="008D291E">
        <w:rPr>
          <w:rFonts w:cs="Arial"/>
          <w:sz w:val="22"/>
          <w:szCs w:val="22"/>
        </w:rPr>
        <w:t xml:space="preserve">They must be submitted as a Word file (not as a pdf) and must not include </w:t>
      </w:r>
      <w:r>
        <w:rPr>
          <w:rFonts w:cs="Arial"/>
          <w:sz w:val="22"/>
          <w:szCs w:val="22"/>
        </w:rPr>
        <w:t xml:space="preserve">scanned in text or text boxes. </w:t>
      </w:r>
      <w:r w:rsidRPr="008D291E">
        <w:rPr>
          <w:rFonts w:cs="Arial"/>
          <w:sz w:val="22"/>
          <w:szCs w:val="22"/>
        </w:rPr>
        <w:t>They must be submi</w:t>
      </w:r>
      <w:r>
        <w:rPr>
          <w:rFonts w:cs="Arial"/>
          <w:sz w:val="22"/>
          <w:szCs w:val="22"/>
        </w:rPr>
        <w:t xml:space="preserve">tted by 2pm on the given date. </w:t>
      </w:r>
      <w:r w:rsidRPr="008D291E">
        <w:rPr>
          <w:rFonts w:cs="Arial"/>
          <w:sz w:val="22"/>
          <w:szCs w:val="22"/>
        </w:rPr>
        <w:t xml:space="preserve">For further general details on coursework preparation refer to the online information </w:t>
      </w:r>
      <w:r>
        <w:rPr>
          <w:rFonts w:cs="Arial"/>
          <w:sz w:val="22"/>
          <w:szCs w:val="22"/>
        </w:rPr>
        <w:t>at</w:t>
      </w:r>
      <w:r w:rsidRPr="008D291E">
        <w:rPr>
          <w:rFonts w:cs="Arial"/>
          <w:sz w:val="22"/>
          <w:szCs w:val="22"/>
        </w:rPr>
        <w:t xml:space="preserve"> StudentZone</w:t>
      </w:r>
      <w:r>
        <w:rPr>
          <w:rFonts w:cs="Arial"/>
          <w:sz w:val="22"/>
          <w:szCs w:val="22"/>
        </w:rPr>
        <w:t>,</w:t>
      </w:r>
      <w:r w:rsidRPr="008D291E">
        <w:rPr>
          <w:rFonts w:cs="Arial"/>
          <w:sz w:val="22"/>
          <w:szCs w:val="22"/>
        </w:rPr>
        <w:t xml:space="preserve"> </w:t>
      </w:r>
      <w:hyperlink r:id="rId7" w:history="1">
        <w:r w:rsidRPr="00EE4318">
          <w:rPr>
            <w:rFonts w:cs="Arial"/>
            <w:sz w:val="22"/>
            <w:szCs w:val="22"/>
            <w:u w:val="single"/>
          </w:rPr>
          <w:t>http://studentzone.roehampton.ac.uk/howtostudy/index.html</w:t>
        </w:r>
      </w:hyperlink>
      <w:r>
        <w:rPr>
          <w:rFonts w:cs="Arial"/>
          <w:sz w:val="22"/>
          <w:szCs w:val="22"/>
        </w:rPr>
        <w:t>.</w:t>
      </w:r>
    </w:p>
    <w:p w14:paraId="1F2AD725" w14:textId="77777777" w:rsidR="007B7B64" w:rsidRPr="007B18A3" w:rsidRDefault="007B7B64" w:rsidP="007B7B64">
      <w:pPr>
        <w:rPr>
          <w:rFonts w:cs="Arial"/>
          <w:b/>
          <w:color w:val="006600"/>
          <w:sz w:val="26"/>
          <w:szCs w:val="26"/>
        </w:rPr>
      </w:pPr>
    </w:p>
    <w:p w14:paraId="498C568C" w14:textId="77777777" w:rsidR="007B7B64" w:rsidRDefault="007B7B64" w:rsidP="007B7B64">
      <w:pPr>
        <w:rPr>
          <w:rFonts w:cs="Arial"/>
          <w:b/>
          <w:color w:val="006600"/>
          <w:sz w:val="26"/>
          <w:szCs w:val="26"/>
        </w:rPr>
      </w:pPr>
      <w:r w:rsidRPr="00EE4318">
        <w:rPr>
          <w:rFonts w:cs="Arial"/>
          <w:b/>
          <w:color w:val="006600"/>
          <w:sz w:val="26"/>
          <w:szCs w:val="26"/>
        </w:rPr>
        <w:t>Mitigating circumstances/what to do if you cannot submit a piece of work or attend your presentation</w:t>
      </w:r>
    </w:p>
    <w:p w14:paraId="27E103DD" w14:textId="77777777" w:rsidR="007B7B64" w:rsidRPr="00A42AD2" w:rsidRDefault="007B7B64" w:rsidP="007B7B64">
      <w:pPr>
        <w:rPr>
          <w:rFonts w:cs="Arial"/>
          <w:b/>
          <w:color w:val="006600"/>
          <w:sz w:val="8"/>
          <w:szCs w:val="8"/>
        </w:rPr>
      </w:pPr>
    </w:p>
    <w:p w14:paraId="7E5E084D" w14:textId="77777777" w:rsidR="007B7B64" w:rsidRPr="00EE4318" w:rsidRDefault="007B7B64" w:rsidP="007B7B64">
      <w:pPr>
        <w:rPr>
          <w:rFonts w:cs="Arial"/>
          <w:sz w:val="22"/>
          <w:szCs w:val="22"/>
          <w:u w:val="single"/>
        </w:rPr>
      </w:pPr>
      <w:r w:rsidRPr="008D291E">
        <w:rPr>
          <w:rFonts w:cs="Arial"/>
          <w:sz w:val="22"/>
          <w:szCs w:val="22"/>
        </w:rPr>
        <w:t>The University Mitigating Circumstances Policy can be found on the University website</w:t>
      </w:r>
      <w:r>
        <w:rPr>
          <w:rFonts w:cs="Arial"/>
          <w:sz w:val="22"/>
          <w:szCs w:val="22"/>
        </w:rPr>
        <w:t>:</w:t>
      </w:r>
      <w:hyperlink r:id="rId8" w:history="1">
        <w:r w:rsidRPr="00EE4318">
          <w:rPr>
            <w:rFonts w:cs="Arial"/>
            <w:sz w:val="22"/>
            <w:szCs w:val="22"/>
            <w:u w:val="single"/>
          </w:rPr>
          <w:t xml:space="preserve"> Mitigatin</w:t>
        </w:r>
      </w:hyperlink>
      <w:r w:rsidRPr="00EE4318">
        <w:rPr>
          <w:rFonts w:cs="Arial"/>
          <w:sz w:val="22"/>
          <w:szCs w:val="22"/>
          <w:u w:val="single"/>
        </w:rPr>
        <w:t>g</w:t>
      </w:r>
      <w:hyperlink r:id="rId9" w:history="1">
        <w:r w:rsidRPr="00EE4318">
          <w:rPr>
            <w:rFonts w:cs="Arial"/>
            <w:sz w:val="22"/>
            <w:szCs w:val="22"/>
            <w:u w:val="single"/>
          </w:rPr>
          <w:t xml:space="preserve"> Circumstances Polic</w:t>
        </w:r>
      </w:hyperlink>
      <w:r w:rsidRPr="00EE4318">
        <w:rPr>
          <w:rFonts w:cs="Arial"/>
          <w:sz w:val="22"/>
          <w:szCs w:val="22"/>
          <w:u w:val="single"/>
        </w:rPr>
        <w:t>y</w:t>
      </w:r>
    </w:p>
    <w:p w14:paraId="78717C10" w14:textId="77777777" w:rsidR="007B7B64" w:rsidRDefault="007B7B64" w:rsidP="007B7B64">
      <w:pPr>
        <w:rPr>
          <w:rFonts w:cs="Arial"/>
          <w:b/>
          <w:color w:val="006600"/>
          <w:sz w:val="26"/>
          <w:szCs w:val="26"/>
        </w:rPr>
      </w:pPr>
      <w:r w:rsidRPr="00EE4318">
        <w:rPr>
          <w:rFonts w:cs="Arial"/>
          <w:b/>
          <w:color w:val="006600"/>
          <w:sz w:val="26"/>
          <w:szCs w:val="26"/>
        </w:rPr>
        <w:t>Marking and feedback process</w:t>
      </w:r>
    </w:p>
    <w:p w14:paraId="34B16906" w14:textId="77777777" w:rsidR="007B7B64" w:rsidRPr="003063A8" w:rsidRDefault="007B7B64" w:rsidP="007B7B64">
      <w:pPr>
        <w:rPr>
          <w:rFonts w:cs="Arial"/>
          <w:b/>
          <w:color w:val="006600"/>
          <w:sz w:val="12"/>
          <w:szCs w:val="12"/>
        </w:rPr>
      </w:pPr>
    </w:p>
    <w:p w14:paraId="1516E4B9" w14:textId="77777777" w:rsidR="007B7B64" w:rsidRPr="008D291E" w:rsidRDefault="007B7B64" w:rsidP="007B7B64">
      <w:pPr>
        <w:jc w:val="both"/>
        <w:rPr>
          <w:rFonts w:cs="Arial"/>
          <w:sz w:val="22"/>
          <w:szCs w:val="22"/>
        </w:rPr>
      </w:pPr>
      <w:r w:rsidRPr="008D291E">
        <w:rPr>
          <w:rFonts w:cs="Arial"/>
          <w:sz w:val="22"/>
          <w:szCs w:val="22"/>
        </w:rPr>
        <w:t>Between you handing in your work and then receiving your feedback and marks within 20 days, there are a number of quality assurance processes that we go through to ensure that students receive marks which reflects their work. A brief summary is provided below.</w:t>
      </w:r>
    </w:p>
    <w:p w14:paraId="2A514302"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Step One</w:t>
      </w:r>
      <w:r w:rsidRPr="008D291E">
        <w:rPr>
          <w:rFonts w:cs="Arial"/>
        </w:rPr>
        <w:t xml:space="preserve"> – The module and marking team meet to agree standards, expectations and how feedback will be provided.</w:t>
      </w:r>
    </w:p>
    <w:p w14:paraId="0A84673E"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Step Two</w:t>
      </w:r>
      <w:r w:rsidRPr="008D291E">
        <w:rPr>
          <w:rFonts w:cs="Arial"/>
        </w:rPr>
        <w:t xml:space="preserve"> – A subject expert will mark your work using the criteria provided in the assessment brief.</w:t>
      </w:r>
    </w:p>
    <w:p w14:paraId="14795BE4" w14:textId="77777777" w:rsidR="007B7B64" w:rsidRPr="008D291E" w:rsidRDefault="007B7B64" w:rsidP="007B7B64">
      <w:pPr>
        <w:pStyle w:val="ListParagraph"/>
        <w:numPr>
          <w:ilvl w:val="0"/>
          <w:numId w:val="3"/>
        </w:numPr>
        <w:spacing w:before="220"/>
        <w:ind w:left="357" w:hanging="357"/>
        <w:contextualSpacing w:val="0"/>
        <w:rPr>
          <w:rFonts w:cs="Arial"/>
        </w:rPr>
      </w:pPr>
      <w:r w:rsidRPr="008D291E">
        <w:rPr>
          <w:rFonts w:cs="Arial"/>
          <w:b/>
        </w:rPr>
        <w:t xml:space="preserve">Step Three </w:t>
      </w:r>
      <w:r w:rsidRPr="008D291E">
        <w:rPr>
          <w:rFonts w:cs="Arial"/>
        </w:rPr>
        <w:t xml:space="preserve">– A moderation meeting takes place where all members of the teaching and marking team will review the marking of others to confirm whether they agree with the mark and feedback </w:t>
      </w:r>
    </w:p>
    <w:p w14:paraId="0EC6ED4F" w14:textId="387D71A6" w:rsidR="007B7B64" w:rsidRDefault="007B7B64" w:rsidP="007B7B64">
      <w:pPr>
        <w:pStyle w:val="ListParagraph"/>
        <w:numPr>
          <w:ilvl w:val="0"/>
          <w:numId w:val="3"/>
        </w:numPr>
        <w:spacing w:before="220"/>
        <w:ind w:left="357" w:hanging="357"/>
        <w:contextualSpacing w:val="0"/>
        <w:rPr>
          <w:rFonts w:cs="Arial"/>
        </w:rPr>
      </w:pPr>
      <w:r w:rsidRPr="008D291E">
        <w:rPr>
          <w:rFonts w:cs="Arial"/>
          <w:b/>
        </w:rPr>
        <w:t>Step Four</w:t>
      </w:r>
      <w:r w:rsidRPr="008D291E">
        <w:rPr>
          <w:rFonts w:cs="Arial"/>
        </w:rPr>
        <w:t xml:space="preserve"> – Work then goes to an external examiner who will review a sample of work to confirm that the marking between different staff is consistent and fair</w:t>
      </w:r>
      <w:r w:rsidR="00BE25A0">
        <w:rPr>
          <w:rFonts w:cs="Arial"/>
        </w:rPr>
        <w:t>.</w:t>
      </w:r>
    </w:p>
    <w:p w14:paraId="2438A751" w14:textId="625B9AC1" w:rsidR="007B7B64" w:rsidRPr="00A42AD2" w:rsidRDefault="007B7B64" w:rsidP="00A42AD2">
      <w:pPr>
        <w:pStyle w:val="ListParagraph"/>
        <w:numPr>
          <w:ilvl w:val="0"/>
          <w:numId w:val="3"/>
        </w:numPr>
        <w:spacing w:before="220"/>
        <w:ind w:left="357" w:hanging="357"/>
        <w:contextualSpacing w:val="0"/>
        <w:rPr>
          <w:rFonts w:cs="Arial"/>
        </w:rPr>
      </w:pPr>
      <w:r w:rsidRPr="003E17E8">
        <w:rPr>
          <w:rFonts w:cs="Arial"/>
          <w:b/>
        </w:rPr>
        <w:t>Step Five</w:t>
      </w:r>
      <w:r w:rsidRPr="003E17E8">
        <w:rPr>
          <w:rFonts w:cs="Arial"/>
        </w:rPr>
        <w:t xml:space="preserve"> – Your mark and feedback is processed by the Office and made available to you.</w:t>
      </w:r>
    </w:p>
    <w:sectPr w:rsidR="007B7B64" w:rsidRPr="00A42AD2" w:rsidSect="00BE25A0">
      <w:footerReference w:type="default" r:id="rId10"/>
      <w:pgSz w:w="11906" w:h="16838"/>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7BB67" w14:textId="77777777" w:rsidR="00921BF1" w:rsidRDefault="00921BF1" w:rsidP="007B7B64">
      <w:r>
        <w:separator/>
      </w:r>
    </w:p>
  </w:endnote>
  <w:endnote w:type="continuationSeparator" w:id="0">
    <w:p w14:paraId="0F02B379" w14:textId="77777777" w:rsidR="00921BF1" w:rsidRDefault="00921BF1" w:rsidP="007B7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3946878"/>
      <w:docPartObj>
        <w:docPartGallery w:val="Page Numbers (Bottom of Page)"/>
        <w:docPartUnique/>
      </w:docPartObj>
    </w:sdtPr>
    <w:sdtContent>
      <w:sdt>
        <w:sdtPr>
          <w:id w:val="-1769616900"/>
          <w:docPartObj>
            <w:docPartGallery w:val="Page Numbers (Top of Page)"/>
            <w:docPartUnique/>
          </w:docPartObj>
        </w:sdtPr>
        <w:sdtContent>
          <w:p w14:paraId="6A8A4247" w14:textId="6A408875" w:rsidR="00A42AD2" w:rsidRDefault="00A42AD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73686E" w14:textId="77777777" w:rsidR="007B7B64" w:rsidRDefault="007B7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FAAA8" w14:textId="77777777" w:rsidR="00921BF1" w:rsidRDefault="00921BF1" w:rsidP="007B7B64">
      <w:r>
        <w:separator/>
      </w:r>
    </w:p>
  </w:footnote>
  <w:footnote w:type="continuationSeparator" w:id="0">
    <w:p w14:paraId="27C23A9D" w14:textId="77777777" w:rsidR="00921BF1" w:rsidRDefault="00921BF1" w:rsidP="007B7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17175"/>
    <w:multiLevelType w:val="hybridMultilevel"/>
    <w:tmpl w:val="F08006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262EAC"/>
    <w:multiLevelType w:val="hybridMultilevel"/>
    <w:tmpl w:val="F63C12A2"/>
    <w:lvl w:ilvl="0" w:tplc="E81C0B94">
      <w:start w:val="1"/>
      <w:numFmt w:val="decimal"/>
      <w:lvlText w:val="%1)"/>
      <w:lvlJc w:val="left"/>
      <w:pPr>
        <w:ind w:left="375" w:hanging="375"/>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B1025DD"/>
    <w:multiLevelType w:val="hybridMultilevel"/>
    <w:tmpl w:val="940065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77172509">
    <w:abstractNumId w:val="1"/>
  </w:num>
  <w:num w:numId="2" w16cid:durableId="1529415613">
    <w:abstractNumId w:val="2"/>
  </w:num>
  <w:num w:numId="3" w16cid:durableId="196669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FE0"/>
    <w:rsid w:val="00000602"/>
    <w:rsid w:val="00001A6F"/>
    <w:rsid w:val="00002344"/>
    <w:rsid w:val="00002674"/>
    <w:rsid w:val="00007CC3"/>
    <w:rsid w:val="00011D77"/>
    <w:rsid w:val="000231C0"/>
    <w:rsid w:val="000274AE"/>
    <w:rsid w:val="0003141E"/>
    <w:rsid w:val="00037431"/>
    <w:rsid w:val="00044EBB"/>
    <w:rsid w:val="00050087"/>
    <w:rsid w:val="00064BB0"/>
    <w:rsid w:val="000709CC"/>
    <w:rsid w:val="00076E8F"/>
    <w:rsid w:val="0008049D"/>
    <w:rsid w:val="00082086"/>
    <w:rsid w:val="00082133"/>
    <w:rsid w:val="00087BDA"/>
    <w:rsid w:val="0009033C"/>
    <w:rsid w:val="0009111C"/>
    <w:rsid w:val="00095057"/>
    <w:rsid w:val="00095DFB"/>
    <w:rsid w:val="00097E84"/>
    <w:rsid w:val="000A4D06"/>
    <w:rsid w:val="000B5D92"/>
    <w:rsid w:val="000B647D"/>
    <w:rsid w:val="000C39C2"/>
    <w:rsid w:val="000C5794"/>
    <w:rsid w:val="000C6DDC"/>
    <w:rsid w:val="000D16A4"/>
    <w:rsid w:val="000D65CB"/>
    <w:rsid w:val="000E1183"/>
    <w:rsid w:val="000E330E"/>
    <w:rsid w:val="000E4A20"/>
    <w:rsid w:val="000E4D12"/>
    <w:rsid w:val="000E5C31"/>
    <w:rsid w:val="000E75CB"/>
    <w:rsid w:val="000F7951"/>
    <w:rsid w:val="000F7A84"/>
    <w:rsid w:val="000F7AE6"/>
    <w:rsid w:val="00100F7B"/>
    <w:rsid w:val="00103938"/>
    <w:rsid w:val="00110BB7"/>
    <w:rsid w:val="00112CAC"/>
    <w:rsid w:val="00113F86"/>
    <w:rsid w:val="00120453"/>
    <w:rsid w:val="00120BC1"/>
    <w:rsid w:val="001228CA"/>
    <w:rsid w:val="0012410C"/>
    <w:rsid w:val="00126FA1"/>
    <w:rsid w:val="00133606"/>
    <w:rsid w:val="0015344D"/>
    <w:rsid w:val="00154160"/>
    <w:rsid w:val="00156C2F"/>
    <w:rsid w:val="0016029F"/>
    <w:rsid w:val="001645D2"/>
    <w:rsid w:val="00166869"/>
    <w:rsid w:val="00167F44"/>
    <w:rsid w:val="0017606F"/>
    <w:rsid w:val="00182747"/>
    <w:rsid w:val="00187B0C"/>
    <w:rsid w:val="001A0CDC"/>
    <w:rsid w:val="001A1F49"/>
    <w:rsid w:val="001A454D"/>
    <w:rsid w:val="001A7234"/>
    <w:rsid w:val="001B17DE"/>
    <w:rsid w:val="001B2A37"/>
    <w:rsid w:val="001B2EDE"/>
    <w:rsid w:val="001B7FD0"/>
    <w:rsid w:val="001C16D9"/>
    <w:rsid w:val="001C5971"/>
    <w:rsid w:val="001C6028"/>
    <w:rsid w:val="001C6DDB"/>
    <w:rsid w:val="001D0932"/>
    <w:rsid w:val="001E2F43"/>
    <w:rsid w:val="001E7640"/>
    <w:rsid w:val="001F5AA3"/>
    <w:rsid w:val="001F5AA7"/>
    <w:rsid w:val="001F7772"/>
    <w:rsid w:val="002008F4"/>
    <w:rsid w:val="0020188E"/>
    <w:rsid w:val="00202205"/>
    <w:rsid w:val="002057E0"/>
    <w:rsid w:val="0020678F"/>
    <w:rsid w:val="0021243D"/>
    <w:rsid w:val="00213F23"/>
    <w:rsid w:val="0021434F"/>
    <w:rsid w:val="002216D1"/>
    <w:rsid w:val="002347FF"/>
    <w:rsid w:val="0023503A"/>
    <w:rsid w:val="002351F9"/>
    <w:rsid w:val="0025633C"/>
    <w:rsid w:val="00257C45"/>
    <w:rsid w:val="00257EA2"/>
    <w:rsid w:val="002607AE"/>
    <w:rsid w:val="00265FA5"/>
    <w:rsid w:val="00281137"/>
    <w:rsid w:val="0028383A"/>
    <w:rsid w:val="002A00B6"/>
    <w:rsid w:val="002A2DB2"/>
    <w:rsid w:val="002A7381"/>
    <w:rsid w:val="002B17E1"/>
    <w:rsid w:val="002B4D8F"/>
    <w:rsid w:val="002B7761"/>
    <w:rsid w:val="002C707A"/>
    <w:rsid w:val="002D0194"/>
    <w:rsid w:val="002D1123"/>
    <w:rsid w:val="002D2112"/>
    <w:rsid w:val="002D2CC2"/>
    <w:rsid w:val="002D490B"/>
    <w:rsid w:val="002D640D"/>
    <w:rsid w:val="002D7CA8"/>
    <w:rsid w:val="002E63C7"/>
    <w:rsid w:val="002F0990"/>
    <w:rsid w:val="003005BD"/>
    <w:rsid w:val="00303CE4"/>
    <w:rsid w:val="0031387E"/>
    <w:rsid w:val="00316244"/>
    <w:rsid w:val="00316840"/>
    <w:rsid w:val="00326714"/>
    <w:rsid w:val="00331CCE"/>
    <w:rsid w:val="00331F4A"/>
    <w:rsid w:val="00333627"/>
    <w:rsid w:val="0033483D"/>
    <w:rsid w:val="003520C6"/>
    <w:rsid w:val="003537D7"/>
    <w:rsid w:val="003545E9"/>
    <w:rsid w:val="0035573C"/>
    <w:rsid w:val="00361989"/>
    <w:rsid w:val="00363428"/>
    <w:rsid w:val="003652FC"/>
    <w:rsid w:val="0038123D"/>
    <w:rsid w:val="00382122"/>
    <w:rsid w:val="0038473B"/>
    <w:rsid w:val="00393552"/>
    <w:rsid w:val="00393DFC"/>
    <w:rsid w:val="00396F64"/>
    <w:rsid w:val="00397590"/>
    <w:rsid w:val="003A1FB9"/>
    <w:rsid w:val="003A3C0D"/>
    <w:rsid w:val="003A40B9"/>
    <w:rsid w:val="003A490A"/>
    <w:rsid w:val="003A7FCF"/>
    <w:rsid w:val="003B2332"/>
    <w:rsid w:val="003B2F4E"/>
    <w:rsid w:val="003B4782"/>
    <w:rsid w:val="003C0287"/>
    <w:rsid w:val="003D068C"/>
    <w:rsid w:val="003D0F35"/>
    <w:rsid w:val="003D36F0"/>
    <w:rsid w:val="003D4350"/>
    <w:rsid w:val="003D5105"/>
    <w:rsid w:val="003D5443"/>
    <w:rsid w:val="003D6E39"/>
    <w:rsid w:val="003D6EBF"/>
    <w:rsid w:val="003E17E8"/>
    <w:rsid w:val="003E3289"/>
    <w:rsid w:val="003E5404"/>
    <w:rsid w:val="003E6055"/>
    <w:rsid w:val="003F0BF4"/>
    <w:rsid w:val="0040088F"/>
    <w:rsid w:val="00401338"/>
    <w:rsid w:val="004061AF"/>
    <w:rsid w:val="00414B71"/>
    <w:rsid w:val="0042036F"/>
    <w:rsid w:val="00421E12"/>
    <w:rsid w:val="0042260F"/>
    <w:rsid w:val="004228F8"/>
    <w:rsid w:val="004255E1"/>
    <w:rsid w:val="00425BC1"/>
    <w:rsid w:val="004271FE"/>
    <w:rsid w:val="004315EE"/>
    <w:rsid w:val="004315FE"/>
    <w:rsid w:val="0043639E"/>
    <w:rsid w:val="0043689D"/>
    <w:rsid w:val="00436B93"/>
    <w:rsid w:val="00436FCA"/>
    <w:rsid w:val="0043787D"/>
    <w:rsid w:val="00437C06"/>
    <w:rsid w:val="00440C89"/>
    <w:rsid w:val="00441376"/>
    <w:rsid w:val="00442D7A"/>
    <w:rsid w:val="004462C3"/>
    <w:rsid w:val="0045135C"/>
    <w:rsid w:val="00451A74"/>
    <w:rsid w:val="004531BF"/>
    <w:rsid w:val="00453FB2"/>
    <w:rsid w:val="00454F89"/>
    <w:rsid w:val="00465F05"/>
    <w:rsid w:val="004671E1"/>
    <w:rsid w:val="004673B3"/>
    <w:rsid w:val="00470213"/>
    <w:rsid w:val="004740C4"/>
    <w:rsid w:val="004764D0"/>
    <w:rsid w:val="004937F5"/>
    <w:rsid w:val="00496769"/>
    <w:rsid w:val="004968A3"/>
    <w:rsid w:val="004C7B5C"/>
    <w:rsid w:val="004D0EA1"/>
    <w:rsid w:val="004D2F20"/>
    <w:rsid w:val="004D6898"/>
    <w:rsid w:val="004D6DF8"/>
    <w:rsid w:val="004E063F"/>
    <w:rsid w:val="004E2393"/>
    <w:rsid w:val="004E5042"/>
    <w:rsid w:val="004E5C1A"/>
    <w:rsid w:val="004F0C0D"/>
    <w:rsid w:val="004F129A"/>
    <w:rsid w:val="004F37FC"/>
    <w:rsid w:val="004F4032"/>
    <w:rsid w:val="004F6BAB"/>
    <w:rsid w:val="00506FBE"/>
    <w:rsid w:val="005102F8"/>
    <w:rsid w:val="00510F44"/>
    <w:rsid w:val="00516B42"/>
    <w:rsid w:val="005257E0"/>
    <w:rsid w:val="00530160"/>
    <w:rsid w:val="00530CAD"/>
    <w:rsid w:val="00533E22"/>
    <w:rsid w:val="0053612F"/>
    <w:rsid w:val="00536D08"/>
    <w:rsid w:val="00541ABE"/>
    <w:rsid w:val="00545453"/>
    <w:rsid w:val="005508F2"/>
    <w:rsid w:val="00551263"/>
    <w:rsid w:val="00553C57"/>
    <w:rsid w:val="00556BE7"/>
    <w:rsid w:val="00557348"/>
    <w:rsid w:val="00560383"/>
    <w:rsid w:val="00562FA2"/>
    <w:rsid w:val="00565E36"/>
    <w:rsid w:val="00567D5B"/>
    <w:rsid w:val="00573068"/>
    <w:rsid w:val="0057638D"/>
    <w:rsid w:val="00582A91"/>
    <w:rsid w:val="00585930"/>
    <w:rsid w:val="0058716B"/>
    <w:rsid w:val="00587E9B"/>
    <w:rsid w:val="005A31BF"/>
    <w:rsid w:val="005A69AB"/>
    <w:rsid w:val="005A7598"/>
    <w:rsid w:val="005B296B"/>
    <w:rsid w:val="005B31CE"/>
    <w:rsid w:val="005B49EA"/>
    <w:rsid w:val="005C0673"/>
    <w:rsid w:val="005C6865"/>
    <w:rsid w:val="005D236D"/>
    <w:rsid w:val="005D34AC"/>
    <w:rsid w:val="005E2113"/>
    <w:rsid w:val="005F06B9"/>
    <w:rsid w:val="005F59B3"/>
    <w:rsid w:val="006030BD"/>
    <w:rsid w:val="00603927"/>
    <w:rsid w:val="00606C0E"/>
    <w:rsid w:val="00612B0B"/>
    <w:rsid w:val="006138CA"/>
    <w:rsid w:val="00617AFA"/>
    <w:rsid w:val="0062581A"/>
    <w:rsid w:val="00630B86"/>
    <w:rsid w:val="006313B8"/>
    <w:rsid w:val="006313BF"/>
    <w:rsid w:val="00633B05"/>
    <w:rsid w:val="00634CA2"/>
    <w:rsid w:val="006362A8"/>
    <w:rsid w:val="00642046"/>
    <w:rsid w:val="006465CA"/>
    <w:rsid w:val="006529D1"/>
    <w:rsid w:val="00652C93"/>
    <w:rsid w:val="006574B8"/>
    <w:rsid w:val="00665177"/>
    <w:rsid w:val="00665689"/>
    <w:rsid w:val="00665816"/>
    <w:rsid w:val="00665FAD"/>
    <w:rsid w:val="00671700"/>
    <w:rsid w:val="00671C80"/>
    <w:rsid w:val="00672DDC"/>
    <w:rsid w:val="00675E92"/>
    <w:rsid w:val="0068009E"/>
    <w:rsid w:val="00681B1A"/>
    <w:rsid w:val="006834D4"/>
    <w:rsid w:val="0068379C"/>
    <w:rsid w:val="00685F4E"/>
    <w:rsid w:val="00686803"/>
    <w:rsid w:val="00687477"/>
    <w:rsid w:val="006A11EA"/>
    <w:rsid w:val="006A73AD"/>
    <w:rsid w:val="006A7683"/>
    <w:rsid w:val="006B115B"/>
    <w:rsid w:val="006B18D4"/>
    <w:rsid w:val="006B1C7C"/>
    <w:rsid w:val="006C1D95"/>
    <w:rsid w:val="006C30AD"/>
    <w:rsid w:val="006D03AD"/>
    <w:rsid w:val="006D0EA5"/>
    <w:rsid w:val="006D27D8"/>
    <w:rsid w:val="006D44E2"/>
    <w:rsid w:val="006D45DE"/>
    <w:rsid w:val="006D7AA5"/>
    <w:rsid w:val="006E1E63"/>
    <w:rsid w:val="006E7B4B"/>
    <w:rsid w:val="006F0EE8"/>
    <w:rsid w:val="006F1478"/>
    <w:rsid w:val="006F31D6"/>
    <w:rsid w:val="006F6A1E"/>
    <w:rsid w:val="006F784C"/>
    <w:rsid w:val="00701B2B"/>
    <w:rsid w:val="00704688"/>
    <w:rsid w:val="00706E56"/>
    <w:rsid w:val="00707363"/>
    <w:rsid w:val="00707CBA"/>
    <w:rsid w:val="007104C7"/>
    <w:rsid w:val="0071253F"/>
    <w:rsid w:val="007212DE"/>
    <w:rsid w:val="007226A3"/>
    <w:rsid w:val="007232CC"/>
    <w:rsid w:val="007524F5"/>
    <w:rsid w:val="007529B3"/>
    <w:rsid w:val="00756309"/>
    <w:rsid w:val="00762E7A"/>
    <w:rsid w:val="00763556"/>
    <w:rsid w:val="00764098"/>
    <w:rsid w:val="00770380"/>
    <w:rsid w:val="007744E5"/>
    <w:rsid w:val="007755C1"/>
    <w:rsid w:val="00783FFF"/>
    <w:rsid w:val="00785371"/>
    <w:rsid w:val="00787BC3"/>
    <w:rsid w:val="007A295B"/>
    <w:rsid w:val="007A6912"/>
    <w:rsid w:val="007A6A91"/>
    <w:rsid w:val="007B1336"/>
    <w:rsid w:val="007B7B64"/>
    <w:rsid w:val="007C24F1"/>
    <w:rsid w:val="007C3747"/>
    <w:rsid w:val="007C4C87"/>
    <w:rsid w:val="007C5411"/>
    <w:rsid w:val="007C5D49"/>
    <w:rsid w:val="007C6DE9"/>
    <w:rsid w:val="007D270B"/>
    <w:rsid w:val="007D7665"/>
    <w:rsid w:val="007E2A72"/>
    <w:rsid w:val="007E2E87"/>
    <w:rsid w:val="007E31A3"/>
    <w:rsid w:val="007E58DE"/>
    <w:rsid w:val="007E7F39"/>
    <w:rsid w:val="007F67BF"/>
    <w:rsid w:val="00807678"/>
    <w:rsid w:val="00814293"/>
    <w:rsid w:val="00827DFB"/>
    <w:rsid w:val="0083257B"/>
    <w:rsid w:val="00836E96"/>
    <w:rsid w:val="00841D43"/>
    <w:rsid w:val="00842422"/>
    <w:rsid w:val="00846CCF"/>
    <w:rsid w:val="00853D7E"/>
    <w:rsid w:val="00857DC9"/>
    <w:rsid w:val="00866BA1"/>
    <w:rsid w:val="0087010D"/>
    <w:rsid w:val="008701B0"/>
    <w:rsid w:val="00871050"/>
    <w:rsid w:val="00875836"/>
    <w:rsid w:val="00881A82"/>
    <w:rsid w:val="00890FA3"/>
    <w:rsid w:val="00892D3A"/>
    <w:rsid w:val="008940CA"/>
    <w:rsid w:val="008975D8"/>
    <w:rsid w:val="008A2C10"/>
    <w:rsid w:val="008B17F2"/>
    <w:rsid w:val="008B1AA0"/>
    <w:rsid w:val="008B1B58"/>
    <w:rsid w:val="008B305F"/>
    <w:rsid w:val="008B34C9"/>
    <w:rsid w:val="008B5D54"/>
    <w:rsid w:val="008B67F0"/>
    <w:rsid w:val="008B6EA6"/>
    <w:rsid w:val="008C0DA8"/>
    <w:rsid w:val="008D226D"/>
    <w:rsid w:val="008D6881"/>
    <w:rsid w:val="008D6F4C"/>
    <w:rsid w:val="008F61F9"/>
    <w:rsid w:val="008F65BF"/>
    <w:rsid w:val="008F660B"/>
    <w:rsid w:val="00900ED8"/>
    <w:rsid w:val="00906ED5"/>
    <w:rsid w:val="00910A29"/>
    <w:rsid w:val="00911494"/>
    <w:rsid w:val="0091653E"/>
    <w:rsid w:val="00921BF1"/>
    <w:rsid w:val="00926B02"/>
    <w:rsid w:val="0092764D"/>
    <w:rsid w:val="00942124"/>
    <w:rsid w:val="009423F6"/>
    <w:rsid w:val="0094254D"/>
    <w:rsid w:val="00943118"/>
    <w:rsid w:val="009654CD"/>
    <w:rsid w:val="009660E8"/>
    <w:rsid w:val="0097034D"/>
    <w:rsid w:val="00972489"/>
    <w:rsid w:val="00975B1C"/>
    <w:rsid w:val="00976A97"/>
    <w:rsid w:val="0098194F"/>
    <w:rsid w:val="0098607C"/>
    <w:rsid w:val="00986DF3"/>
    <w:rsid w:val="009950D9"/>
    <w:rsid w:val="009A0C75"/>
    <w:rsid w:val="009A15A8"/>
    <w:rsid w:val="009B3A8B"/>
    <w:rsid w:val="009B4B7D"/>
    <w:rsid w:val="009B7111"/>
    <w:rsid w:val="009C0D7C"/>
    <w:rsid w:val="009C1889"/>
    <w:rsid w:val="009C1E63"/>
    <w:rsid w:val="009D0824"/>
    <w:rsid w:val="009D3DAA"/>
    <w:rsid w:val="009E0698"/>
    <w:rsid w:val="009E6412"/>
    <w:rsid w:val="009F4615"/>
    <w:rsid w:val="00A042AC"/>
    <w:rsid w:val="00A12527"/>
    <w:rsid w:val="00A12F22"/>
    <w:rsid w:val="00A24582"/>
    <w:rsid w:val="00A2515B"/>
    <w:rsid w:val="00A270AC"/>
    <w:rsid w:val="00A30383"/>
    <w:rsid w:val="00A33C57"/>
    <w:rsid w:val="00A41B57"/>
    <w:rsid w:val="00A42AD2"/>
    <w:rsid w:val="00A44792"/>
    <w:rsid w:val="00A4719A"/>
    <w:rsid w:val="00A501AE"/>
    <w:rsid w:val="00A521F8"/>
    <w:rsid w:val="00A54970"/>
    <w:rsid w:val="00A64E14"/>
    <w:rsid w:val="00A672C0"/>
    <w:rsid w:val="00A7242F"/>
    <w:rsid w:val="00A80979"/>
    <w:rsid w:val="00A8218D"/>
    <w:rsid w:val="00A8484F"/>
    <w:rsid w:val="00A8735F"/>
    <w:rsid w:val="00A92303"/>
    <w:rsid w:val="00A939EE"/>
    <w:rsid w:val="00A944FD"/>
    <w:rsid w:val="00A95324"/>
    <w:rsid w:val="00AA0D8F"/>
    <w:rsid w:val="00AB07CC"/>
    <w:rsid w:val="00AB1303"/>
    <w:rsid w:val="00AB4BAE"/>
    <w:rsid w:val="00AB646B"/>
    <w:rsid w:val="00AC0D8D"/>
    <w:rsid w:val="00AC272B"/>
    <w:rsid w:val="00AC523C"/>
    <w:rsid w:val="00AD03BA"/>
    <w:rsid w:val="00AD162C"/>
    <w:rsid w:val="00AD3145"/>
    <w:rsid w:val="00AD69FF"/>
    <w:rsid w:val="00AD775A"/>
    <w:rsid w:val="00AF04D8"/>
    <w:rsid w:val="00AF3DCB"/>
    <w:rsid w:val="00AF5877"/>
    <w:rsid w:val="00AF6559"/>
    <w:rsid w:val="00B00670"/>
    <w:rsid w:val="00B01CCD"/>
    <w:rsid w:val="00B04E6A"/>
    <w:rsid w:val="00B0712A"/>
    <w:rsid w:val="00B07BAA"/>
    <w:rsid w:val="00B13E4E"/>
    <w:rsid w:val="00B17353"/>
    <w:rsid w:val="00B2374A"/>
    <w:rsid w:val="00B23B79"/>
    <w:rsid w:val="00B26914"/>
    <w:rsid w:val="00B27972"/>
    <w:rsid w:val="00B350DF"/>
    <w:rsid w:val="00B353AD"/>
    <w:rsid w:val="00B408D4"/>
    <w:rsid w:val="00B4110F"/>
    <w:rsid w:val="00B51646"/>
    <w:rsid w:val="00B51E0C"/>
    <w:rsid w:val="00B52E51"/>
    <w:rsid w:val="00B53802"/>
    <w:rsid w:val="00B53AC0"/>
    <w:rsid w:val="00B62DFC"/>
    <w:rsid w:val="00B66894"/>
    <w:rsid w:val="00B7193D"/>
    <w:rsid w:val="00B73BFD"/>
    <w:rsid w:val="00B80D26"/>
    <w:rsid w:val="00B86F23"/>
    <w:rsid w:val="00B918EA"/>
    <w:rsid w:val="00B91BB2"/>
    <w:rsid w:val="00B95CC3"/>
    <w:rsid w:val="00B97369"/>
    <w:rsid w:val="00BA17FA"/>
    <w:rsid w:val="00BA74F7"/>
    <w:rsid w:val="00BB25D4"/>
    <w:rsid w:val="00BC04C6"/>
    <w:rsid w:val="00BC15C9"/>
    <w:rsid w:val="00BD32E8"/>
    <w:rsid w:val="00BD56BD"/>
    <w:rsid w:val="00BD5B45"/>
    <w:rsid w:val="00BE10B8"/>
    <w:rsid w:val="00BE25A0"/>
    <w:rsid w:val="00BF3F46"/>
    <w:rsid w:val="00BF48D2"/>
    <w:rsid w:val="00BF74CE"/>
    <w:rsid w:val="00BF7B5F"/>
    <w:rsid w:val="00C040C8"/>
    <w:rsid w:val="00C111C4"/>
    <w:rsid w:val="00C14128"/>
    <w:rsid w:val="00C16913"/>
    <w:rsid w:val="00C16D66"/>
    <w:rsid w:val="00C208EE"/>
    <w:rsid w:val="00C3381D"/>
    <w:rsid w:val="00C36A61"/>
    <w:rsid w:val="00C36C41"/>
    <w:rsid w:val="00C409AA"/>
    <w:rsid w:val="00C43E15"/>
    <w:rsid w:val="00C477FA"/>
    <w:rsid w:val="00C50AE8"/>
    <w:rsid w:val="00C564D1"/>
    <w:rsid w:val="00C57D1E"/>
    <w:rsid w:val="00C60519"/>
    <w:rsid w:val="00C6095F"/>
    <w:rsid w:val="00C64E30"/>
    <w:rsid w:val="00C65442"/>
    <w:rsid w:val="00C7619C"/>
    <w:rsid w:val="00C763E4"/>
    <w:rsid w:val="00C819E1"/>
    <w:rsid w:val="00C86425"/>
    <w:rsid w:val="00C87B01"/>
    <w:rsid w:val="00C96671"/>
    <w:rsid w:val="00CA0E91"/>
    <w:rsid w:val="00CA1A5E"/>
    <w:rsid w:val="00CA5275"/>
    <w:rsid w:val="00CB2265"/>
    <w:rsid w:val="00CC1241"/>
    <w:rsid w:val="00CC135C"/>
    <w:rsid w:val="00CC388D"/>
    <w:rsid w:val="00CC4022"/>
    <w:rsid w:val="00CC4F97"/>
    <w:rsid w:val="00CD08A0"/>
    <w:rsid w:val="00CD21FC"/>
    <w:rsid w:val="00CF2EFB"/>
    <w:rsid w:val="00CF6470"/>
    <w:rsid w:val="00D00628"/>
    <w:rsid w:val="00D00967"/>
    <w:rsid w:val="00D01B76"/>
    <w:rsid w:val="00D12769"/>
    <w:rsid w:val="00D142B5"/>
    <w:rsid w:val="00D15A74"/>
    <w:rsid w:val="00D174EB"/>
    <w:rsid w:val="00D1759B"/>
    <w:rsid w:val="00D24CAD"/>
    <w:rsid w:val="00D26B99"/>
    <w:rsid w:val="00D273EC"/>
    <w:rsid w:val="00D32215"/>
    <w:rsid w:val="00D35ADA"/>
    <w:rsid w:val="00D37E32"/>
    <w:rsid w:val="00D42342"/>
    <w:rsid w:val="00D50304"/>
    <w:rsid w:val="00D561AF"/>
    <w:rsid w:val="00D648BA"/>
    <w:rsid w:val="00D7058C"/>
    <w:rsid w:val="00D7071B"/>
    <w:rsid w:val="00D732CC"/>
    <w:rsid w:val="00D73A54"/>
    <w:rsid w:val="00D74D5A"/>
    <w:rsid w:val="00D92552"/>
    <w:rsid w:val="00DA1B9A"/>
    <w:rsid w:val="00DA281B"/>
    <w:rsid w:val="00DA5013"/>
    <w:rsid w:val="00DB574E"/>
    <w:rsid w:val="00DB5C15"/>
    <w:rsid w:val="00DC3401"/>
    <w:rsid w:val="00DC5A93"/>
    <w:rsid w:val="00DD35CF"/>
    <w:rsid w:val="00DD7BCA"/>
    <w:rsid w:val="00DE3617"/>
    <w:rsid w:val="00DE3B07"/>
    <w:rsid w:val="00DE58BA"/>
    <w:rsid w:val="00DF35BC"/>
    <w:rsid w:val="00DF5407"/>
    <w:rsid w:val="00DF64C4"/>
    <w:rsid w:val="00E02546"/>
    <w:rsid w:val="00E10D4B"/>
    <w:rsid w:val="00E16E21"/>
    <w:rsid w:val="00E30F05"/>
    <w:rsid w:val="00E31924"/>
    <w:rsid w:val="00E4155A"/>
    <w:rsid w:val="00E470C4"/>
    <w:rsid w:val="00E47B47"/>
    <w:rsid w:val="00E47CDF"/>
    <w:rsid w:val="00E54849"/>
    <w:rsid w:val="00E635DC"/>
    <w:rsid w:val="00E673F6"/>
    <w:rsid w:val="00E67E51"/>
    <w:rsid w:val="00E70AA8"/>
    <w:rsid w:val="00E73CA2"/>
    <w:rsid w:val="00E73D83"/>
    <w:rsid w:val="00E7409A"/>
    <w:rsid w:val="00E74C6B"/>
    <w:rsid w:val="00E77CEF"/>
    <w:rsid w:val="00E81503"/>
    <w:rsid w:val="00E83776"/>
    <w:rsid w:val="00E84920"/>
    <w:rsid w:val="00E84BB9"/>
    <w:rsid w:val="00E92946"/>
    <w:rsid w:val="00EA018C"/>
    <w:rsid w:val="00EA7437"/>
    <w:rsid w:val="00EA7F9E"/>
    <w:rsid w:val="00EB5049"/>
    <w:rsid w:val="00EC20B0"/>
    <w:rsid w:val="00EC2C8E"/>
    <w:rsid w:val="00EC6093"/>
    <w:rsid w:val="00ED2717"/>
    <w:rsid w:val="00EE71DE"/>
    <w:rsid w:val="00EF2CE1"/>
    <w:rsid w:val="00EF3175"/>
    <w:rsid w:val="00EF57EC"/>
    <w:rsid w:val="00EF7481"/>
    <w:rsid w:val="00F04BBE"/>
    <w:rsid w:val="00F05600"/>
    <w:rsid w:val="00F07FE0"/>
    <w:rsid w:val="00F147F1"/>
    <w:rsid w:val="00F217BB"/>
    <w:rsid w:val="00F220C0"/>
    <w:rsid w:val="00F25ECE"/>
    <w:rsid w:val="00F354D3"/>
    <w:rsid w:val="00F36C0B"/>
    <w:rsid w:val="00F47E52"/>
    <w:rsid w:val="00F568A1"/>
    <w:rsid w:val="00F65213"/>
    <w:rsid w:val="00F662FE"/>
    <w:rsid w:val="00F671CE"/>
    <w:rsid w:val="00F80425"/>
    <w:rsid w:val="00F8314E"/>
    <w:rsid w:val="00F84B77"/>
    <w:rsid w:val="00F86B50"/>
    <w:rsid w:val="00F86C00"/>
    <w:rsid w:val="00F9366E"/>
    <w:rsid w:val="00F9367A"/>
    <w:rsid w:val="00F94DB3"/>
    <w:rsid w:val="00FA0E60"/>
    <w:rsid w:val="00FA1CA7"/>
    <w:rsid w:val="00FA471D"/>
    <w:rsid w:val="00FB1EAC"/>
    <w:rsid w:val="00FC4B12"/>
    <w:rsid w:val="00FC6818"/>
    <w:rsid w:val="00FD3860"/>
    <w:rsid w:val="00FF02E9"/>
    <w:rsid w:val="00FF2280"/>
    <w:rsid w:val="00FF35F8"/>
    <w:rsid w:val="00FF62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82BE"/>
  <w15:chartTrackingRefBased/>
  <w15:docId w15:val="{152F0420-AD2F-452D-9CC8-5FB3C220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FE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7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7FE0"/>
    <w:rPr>
      <w:color w:val="0000FF"/>
      <w:u w:val="single"/>
    </w:rPr>
  </w:style>
  <w:style w:type="paragraph" w:styleId="BalloonText">
    <w:name w:val="Balloon Text"/>
    <w:basedOn w:val="Normal"/>
    <w:link w:val="BalloonTextChar"/>
    <w:uiPriority w:val="99"/>
    <w:semiHidden/>
    <w:unhideWhenUsed/>
    <w:rsid w:val="003336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627"/>
    <w:rPr>
      <w:rFonts w:ascii="Segoe UI" w:eastAsia="Times New Roman" w:hAnsi="Segoe UI" w:cs="Segoe UI"/>
      <w:sz w:val="18"/>
      <w:szCs w:val="18"/>
    </w:rPr>
  </w:style>
  <w:style w:type="paragraph" w:styleId="ListParagraph">
    <w:name w:val="List Paragraph"/>
    <w:basedOn w:val="Normal"/>
    <w:uiPriority w:val="34"/>
    <w:qFormat/>
    <w:rsid w:val="00687477"/>
    <w:pPr>
      <w:ind w:left="720"/>
      <w:contextualSpacing/>
    </w:pPr>
  </w:style>
  <w:style w:type="character" w:styleId="FollowedHyperlink">
    <w:name w:val="FollowedHyperlink"/>
    <w:basedOn w:val="DefaultParagraphFont"/>
    <w:uiPriority w:val="99"/>
    <w:semiHidden/>
    <w:unhideWhenUsed/>
    <w:rsid w:val="00C111C4"/>
    <w:rPr>
      <w:color w:val="954F72" w:themeColor="followedHyperlink"/>
      <w:u w:val="single"/>
    </w:rPr>
  </w:style>
  <w:style w:type="character" w:styleId="UnresolvedMention">
    <w:name w:val="Unresolved Mention"/>
    <w:basedOn w:val="DefaultParagraphFont"/>
    <w:uiPriority w:val="99"/>
    <w:semiHidden/>
    <w:unhideWhenUsed/>
    <w:rsid w:val="005C6865"/>
    <w:rPr>
      <w:color w:val="605E5C"/>
      <w:shd w:val="clear" w:color="auto" w:fill="E1DFDD"/>
    </w:rPr>
  </w:style>
  <w:style w:type="paragraph" w:customStyle="1" w:styleId="xmsonormal">
    <w:name w:val="x_msonormal"/>
    <w:basedOn w:val="Normal"/>
    <w:rsid w:val="005C6865"/>
    <w:rPr>
      <w:rFonts w:ascii="Calibri" w:eastAsiaTheme="minorHAnsi" w:hAnsi="Calibri" w:cs="Calibri"/>
      <w:sz w:val="22"/>
      <w:szCs w:val="22"/>
      <w:lang w:eastAsia="en-GB"/>
    </w:rPr>
  </w:style>
  <w:style w:type="paragraph" w:styleId="Header">
    <w:name w:val="header"/>
    <w:basedOn w:val="Normal"/>
    <w:link w:val="HeaderChar"/>
    <w:uiPriority w:val="99"/>
    <w:unhideWhenUsed/>
    <w:rsid w:val="007B7B64"/>
    <w:pPr>
      <w:tabs>
        <w:tab w:val="center" w:pos="4513"/>
        <w:tab w:val="right" w:pos="9026"/>
      </w:tabs>
    </w:pPr>
  </w:style>
  <w:style w:type="character" w:customStyle="1" w:styleId="HeaderChar">
    <w:name w:val="Header Char"/>
    <w:basedOn w:val="DefaultParagraphFont"/>
    <w:link w:val="Header"/>
    <w:uiPriority w:val="99"/>
    <w:rsid w:val="007B7B64"/>
    <w:rPr>
      <w:rFonts w:ascii="Arial" w:eastAsia="Times New Roman" w:hAnsi="Arial" w:cs="Times New Roman"/>
      <w:sz w:val="24"/>
      <w:szCs w:val="20"/>
    </w:rPr>
  </w:style>
  <w:style w:type="paragraph" w:styleId="Footer">
    <w:name w:val="footer"/>
    <w:basedOn w:val="Normal"/>
    <w:link w:val="FooterChar"/>
    <w:uiPriority w:val="99"/>
    <w:unhideWhenUsed/>
    <w:rsid w:val="007B7B64"/>
    <w:pPr>
      <w:tabs>
        <w:tab w:val="center" w:pos="4513"/>
        <w:tab w:val="right" w:pos="9026"/>
      </w:tabs>
    </w:pPr>
  </w:style>
  <w:style w:type="character" w:customStyle="1" w:styleId="FooterChar">
    <w:name w:val="Footer Char"/>
    <w:basedOn w:val="DefaultParagraphFont"/>
    <w:link w:val="Footer"/>
    <w:uiPriority w:val="99"/>
    <w:rsid w:val="007B7B64"/>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57688">
      <w:bodyDiv w:val="1"/>
      <w:marLeft w:val="0"/>
      <w:marRight w:val="0"/>
      <w:marTop w:val="0"/>
      <w:marBottom w:val="0"/>
      <w:divBdr>
        <w:top w:val="none" w:sz="0" w:space="0" w:color="auto"/>
        <w:left w:val="none" w:sz="0" w:space="0" w:color="auto"/>
        <w:bottom w:val="none" w:sz="0" w:space="0" w:color="auto"/>
        <w:right w:val="none" w:sz="0" w:space="0" w:color="auto"/>
      </w:divBdr>
    </w:div>
    <w:div w:id="701980827">
      <w:bodyDiv w:val="1"/>
      <w:marLeft w:val="0"/>
      <w:marRight w:val="0"/>
      <w:marTop w:val="0"/>
      <w:marBottom w:val="0"/>
      <w:divBdr>
        <w:top w:val="none" w:sz="0" w:space="0" w:color="auto"/>
        <w:left w:val="none" w:sz="0" w:space="0" w:color="auto"/>
        <w:bottom w:val="none" w:sz="0" w:space="0" w:color="auto"/>
        <w:right w:val="none" w:sz="0" w:space="0" w:color="auto"/>
      </w:divBdr>
    </w:div>
    <w:div w:id="8107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ehampton.ac.uk/uploadedFiles/Pages_Assets/PDFs_and_Word_Docs/Quality_and_Standards/Mitigat" TargetMode="External"/><Relationship Id="rId3" Type="http://schemas.openxmlformats.org/officeDocument/2006/relationships/settings" Target="settings.xml"/><Relationship Id="rId7" Type="http://schemas.openxmlformats.org/officeDocument/2006/relationships/hyperlink" Target="http://studentzone.roehampton.ac.uk/howtostudy/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oehampton.ac.uk/uploadedFiles/Pages_Assets/PDFs_and_Word_Docs/Quality_and_Standards/Mitigating%20circumstances%20policy%20August%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Roehampton University</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Harris</dc:creator>
  <cp:keywords/>
  <dc:description/>
  <cp:lastModifiedBy>Dumebi Konwea</cp:lastModifiedBy>
  <cp:revision>2</cp:revision>
  <cp:lastPrinted>2021-07-29T09:08:00Z</cp:lastPrinted>
  <dcterms:created xsi:type="dcterms:W3CDTF">2025-07-08T12:32:00Z</dcterms:created>
  <dcterms:modified xsi:type="dcterms:W3CDTF">2025-07-08T12:32:00Z</dcterms:modified>
</cp:coreProperties>
</file>