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020D67C4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8B1A55">
        <w:rPr>
          <w:b/>
          <w:bCs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3B544DE7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  <w:r w:rsidR="00B62F2B">
              <w:rPr>
                <w:sz w:val="24"/>
                <w:szCs w:val="24"/>
              </w:rPr>
              <w:t xml:space="preserve"> </w:t>
            </w:r>
            <w:r w:rsidR="00B62F2B" w:rsidRPr="00B62F2B">
              <w:rPr>
                <w:color w:val="538135" w:themeColor="accent6" w:themeShade="BF"/>
                <w:sz w:val="24"/>
                <w:szCs w:val="24"/>
              </w:rPr>
              <w:t>2021</w:t>
            </w:r>
            <w:r w:rsidR="00B62F2B">
              <w:rPr>
                <w:color w:val="538135" w:themeColor="accent6" w:themeShade="BF"/>
                <w:sz w:val="24"/>
                <w:szCs w:val="24"/>
              </w:rPr>
              <w:t xml:space="preserve"> case co. Grubhub Inc. @ 31/12/19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What is an investment in a company usually called?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0AFF765A" w:rsidR="00122201" w:rsidRPr="00B62F2B" w:rsidRDefault="00B62F2B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A share or shareholding, also known as an equity holding</w:t>
            </w:r>
          </w:p>
        </w:tc>
        <w:tc>
          <w:tcPr>
            <w:tcW w:w="3653" w:type="dxa"/>
          </w:tcPr>
          <w:p w14:paraId="4B1BBFA8" w14:textId="77777777" w:rsidR="00A545B2" w:rsidRDefault="006F3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 w:rsidR="00122398">
              <w:rPr>
                <w:sz w:val="24"/>
                <w:szCs w:val="24"/>
              </w:rPr>
              <w:t xml:space="preserve"> the number of shares</w:t>
            </w:r>
            <w:r>
              <w:rPr>
                <w:sz w:val="24"/>
                <w:szCs w:val="24"/>
              </w:rPr>
              <w:t xml:space="preserve"> in issue at the balance sheet date</w:t>
            </w:r>
          </w:p>
          <w:p w14:paraId="1D654606" w14:textId="475277F1" w:rsidR="00B62F2B" w:rsidRPr="00B62F2B" w:rsidRDefault="00B62F2B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91,576,060 shares = 91.6 million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73044634" w14:textId="77777777" w:rsidTr="004E5981">
        <w:tc>
          <w:tcPr>
            <w:tcW w:w="3681" w:type="dxa"/>
          </w:tcPr>
          <w:p w14:paraId="3392C5E7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Why do individuals and companies invest in business enterprises?</w:t>
            </w:r>
          </w:p>
          <w:p w14:paraId="635B1D7F" w14:textId="625D6258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69B40630" w:rsidR="00122201" w:rsidRPr="008B1A55" w:rsidRDefault="00B62F2B">
            <w:pPr>
              <w:rPr>
                <w:sz w:val="24"/>
                <w:szCs w:val="24"/>
              </w:rPr>
            </w:pPr>
            <w:r w:rsidRPr="00B62F2B">
              <w:rPr>
                <w:color w:val="538135" w:themeColor="accent6" w:themeShade="BF"/>
                <w:sz w:val="24"/>
                <w:szCs w:val="24"/>
              </w:rPr>
              <w:t xml:space="preserve">To earn </w:t>
            </w:r>
            <w:r>
              <w:rPr>
                <w:color w:val="538135" w:themeColor="accent6" w:themeShade="BF"/>
                <w:sz w:val="24"/>
                <w:szCs w:val="24"/>
              </w:rPr>
              <w:t>income in the form of dividends and/or for capital growth (a higher share value producing a capital gain)</w:t>
            </w:r>
          </w:p>
        </w:tc>
        <w:tc>
          <w:tcPr>
            <w:tcW w:w="3653" w:type="dxa"/>
          </w:tcPr>
          <w:p w14:paraId="6CC7E560" w14:textId="77777777" w:rsidR="00122201" w:rsidRDefault="00E00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earnings per share</w:t>
            </w:r>
            <w:r w:rsidR="0025661D">
              <w:rPr>
                <w:sz w:val="24"/>
                <w:szCs w:val="24"/>
              </w:rPr>
              <w:t xml:space="preserve"> reported in the most recent year</w:t>
            </w:r>
          </w:p>
          <w:p w14:paraId="1EDFDF4D" w14:textId="5DC1A6D4" w:rsidR="00B62F2B" w:rsidRPr="00B62F2B" w:rsidRDefault="00B62F2B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Losses reported so EPS was -$0.20 per share (+$0.88 in 2018)</w:t>
            </w:r>
          </w:p>
        </w:tc>
        <w:tc>
          <w:tcPr>
            <w:tcW w:w="3321" w:type="dxa"/>
          </w:tcPr>
          <w:p w14:paraId="0D8644A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21E21C55" w14:textId="77777777" w:rsidTr="004E5981">
        <w:tc>
          <w:tcPr>
            <w:tcW w:w="3681" w:type="dxa"/>
          </w:tcPr>
          <w:p w14:paraId="296DAA2E" w14:textId="06AB3A4C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How do you explain the difference between the </w:t>
            </w:r>
            <w:r w:rsidR="00AA4119">
              <w:rPr>
                <w:sz w:val="24"/>
                <w:szCs w:val="24"/>
              </w:rPr>
              <w:t xml:space="preserve">‘par or </w:t>
            </w:r>
            <w:r w:rsidRPr="008B1A55">
              <w:rPr>
                <w:sz w:val="24"/>
                <w:szCs w:val="24"/>
              </w:rPr>
              <w:t>nominal value’ of a share and the market price of that share quoted on the stock exchange?</w:t>
            </w:r>
          </w:p>
          <w:p w14:paraId="0606380C" w14:textId="2AAF7D7B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585EA3F0" w:rsidR="00122201" w:rsidRPr="00AA4119" w:rsidRDefault="00AA4119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Accumulated profits/earnings attributable to shareholders retained in the company (i.e. not distributed to shareholders as dividends) since the company started</w:t>
            </w:r>
          </w:p>
        </w:tc>
        <w:tc>
          <w:tcPr>
            <w:tcW w:w="3653" w:type="dxa"/>
          </w:tcPr>
          <w:p w14:paraId="3D4BFDF6" w14:textId="77777777" w:rsidR="00122201" w:rsidRDefault="00FA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market price of a share at the date of the takeover bid</w:t>
            </w:r>
          </w:p>
          <w:p w14:paraId="31EF2E1F" w14:textId="4D055389" w:rsidR="00AA4119" w:rsidRPr="00AA4119" w:rsidRDefault="00AA4119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Share priced quoted at $70 per share at bid date of 29/07/20</w:t>
            </w:r>
          </w:p>
        </w:tc>
        <w:tc>
          <w:tcPr>
            <w:tcW w:w="3321" w:type="dxa"/>
          </w:tcPr>
          <w:p w14:paraId="3FC9201F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116E2C8A" w14:textId="77777777" w:rsidTr="004E5981">
        <w:tc>
          <w:tcPr>
            <w:tcW w:w="3681" w:type="dxa"/>
          </w:tcPr>
          <w:p w14:paraId="74FC9A3D" w14:textId="77777777" w:rsidR="00122201" w:rsidRPr="008B1A55" w:rsidRDefault="00122201" w:rsidP="00176DC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2DA20385" w14:textId="77777777" w:rsidR="00122201" w:rsidRPr="008B1A55" w:rsidRDefault="00122201" w:rsidP="00176DC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EBIT</w:t>
            </w:r>
          </w:p>
          <w:p w14:paraId="500E8057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Equity</w:t>
            </w:r>
          </w:p>
          <w:p w14:paraId="575E658B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Depreciation &amp; amortisation (D&amp;A)</w:t>
            </w:r>
          </w:p>
          <w:p w14:paraId="5B6A5A77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NOPAT</w:t>
            </w:r>
          </w:p>
          <w:p w14:paraId="1A1D6053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capitalisation</w:t>
            </w:r>
          </w:p>
          <w:p w14:paraId="7A659EE6" w14:textId="14788ECC" w:rsidR="008B1A55" w:rsidRPr="00176DC4" w:rsidRDefault="008B1A55" w:rsidP="00176DC4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467AA8F3" w14:textId="3955E8E8" w:rsidR="00122201" w:rsidRDefault="000F011D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(</w:t>
            </w:r>
            <w:r w:rsidR="00AA4119" w:rsidRPr="00AA4119">
              <w:rPr>
                <w:color w:val="538135" w:themeColor="accent6" w:themeShade="BF"/>
                <w:sz w:val="24"/>
                <w:szCs w:val="24"/>
              </w:rPr>
              <w:t xml:space="preserve">See </w:t>
            </w:r>
            <w:r w:rsidR="00AA4119">
              <w:rPr>
                <w:color w:val="538135" w:themeColor="accent6" w:themeShade="BF"/>
                <w:sz w:val="24"/>
                <w:szCs w:val="24"/>
              </w:rPr>
              <w:t xml:space="preserve">SIA </w:t>
            </w:r>
            <w:r w:rsidR="00AA4119" w:rsidRPr="00AA4119">
              <w:rPr>
                <w:color w:val="538135" w:themeColor="accent6" w:themeShade="BF"/>
                <w:sz w:val="24"/>
                <w:szCs w:val="24"/>
              </w:rPr>
              <w:t>glossary</w:t>
            </w:r>
            <w:r>
              <w:rPr>
                <w:color w:val="538135" w:themeColor="accent6" w:themeShade="BF"/>
                <w:sz w:val="24"/>
                <w:szCs w:val="24"/>
              </w:rPr>
              <w:t>)</w:t>
            </w:r>
          </w:p>
          <w:p w14:paraId="0853AD5A" w14:textId="6AB390C2" w:rsidR="000F011D" w:rsidRDefault="000F011D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a. Earnings before interest and taxes</w:t>
            </w:r>
          </w:p>
          <w:p w14:paraId="23EE48F9" w14:textId="4EEB1D54" w:rsidR="000F011D" w:rsidRDefault="000F011D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b. Amount sourced from shareholder’s fund only.</w:t>
            </w:r>
          </w:p>
          <w:p w14:paraId="483F2A4E" w14:textId="5DEB08D4" w:rsidR="000F011D" w:rsidRDefault="000F011D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 xml:space="preserve">c. </w:t>
            </w:r>
            <w:r w:rsidRPr="000F011D">
              <w:rPr>
                <w:color w:val="538135" w:themeColor="accent6" w:themeShade="BF"/>
                <w:sz w:val="24"/>
                <w:szCs w:val="24"/>
              </w:rPr>
              <w:t>Depreciation and amortisation, spreads the cost of CAPEX over the useful life of fixed assets (FA)</w:t>
            </w:r>
          </w:p>
          <w:p w14:paraId="1976FED9" w14:textId="3986C673" w:rsidR="000F011D" w:rsidRDefault="000F011D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 xml:space="preserve">d. </w:t>
            </w:r>
            <w:r w:rsidRPr="000F011D">
              <w:rPr>
                <w:color w:val="538135" w:themeColor="accent6" w:themeShade="BF"/>
                <w:sz w:val="24"/>
                <w:szCs w:val="24"/>
              </w:rPr>
              <w:t>Net operating profit after tax</w:t>
            </w:r>
          </w:p>
          <w:p w14:paraId="278DDC56" w14:textId="46AFB0F2" w:rsidR="000F011D" w:rsidRPr="008B1A55" w:rsidRDefault="000F011D">
            <w:pPr>
              <w:rPr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lastRenderedPageBreak/>
              <w:t>e. MC=</w:t>
            </w:r>
            <w:r w:rsidRPr="000F011D">
              <w:rPr>
                <w:color w:val="538135" w:themeColor="accent6" w:themeShade="BF"/>
                <w:sz w:val="24"/>
                <w:szCs w:val="24"/>
              </w:rPr>
              <w:t xml:space="preserve">total value the market puts on </w:t>
            </w:r>
            <w:r>
              <w:rPr>
                <w:color w:val="538135" w:themeColor="accent6" w:themeShade="BF"/>
                <w:sz w:val="24"/>
                <w:szCs w:val="24"/>
              </w:rPr>
              <w:t>a</w:t>
            </w:r>
            <w:r w:rsidRPr="000F011D">
              <w:rPr>
                <w:color w:val="538135" w:themeColor="accent6" w:themeShade="BF"/>
                <w:sz w:val="24"/>
                <w:szCs w:val="24"/>
              </w:rPr>
              <w:t xml:space="preserve"> company’s equity (share price x no. of shares)</w:t>
            </w:r>
          </w:p>
        </w:tc>
        <w:tc>
          <w:tcPr>
            <w:tcW w:w="3653" w:type="dxa"/>
          </w:tcPr>
          <w:p w14:paraId="2D6346D2" w14:textId="77777777" w:rsidR="00122201" w:rsidRDefault="00C51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Find the values for each term</w:t>
            </w:r>
          </w:p>
          <w:p w14:paraId="54A0C2F9" w14:textId="60963322" w:rsidR="004E5981" w:rsidRPr="008B1A55" w:rsidRDefault="004E5981" w:rsidP="00176DC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EBIT</w:t>
            </w:r>
            <w:r w:rsidR="00AA4119">
              <w:rPr>
                <w:sz w:val="24"/>
                <w:szCs w:val="24"/>
              </w:rPr>
              <w:t xml:space="preserve"> </w:t>
            </w:r>
            <w:r w:rsidR="00855FD9">
              <w:rPr>
                <w:color w:val="538135" w:themeColor="accent6" w:themeShade="BF"/>
                <w:sz w:val="24"/>
                <w:szCs w:val="24"/>
              </w:rPr>
              <w:t>-$6.3 million</w:t>
            </w:r>
          </w:p>
          <w:p w14:paraId="060A2437" w14:textId="60C91524" w:rsidR="00176DC4" w:rsidRDefault="00176DC4" w:rsidP="00176DC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Equity </w:t>
            </w:r>
            <w:r w:rsidRPr="00176DC4">
              <w:rPr>
                <w:color w:val="385623" w:themeColor="accent6" w:themeShade="80"/>
                <w:sz w:val="24"/>
                <w:szCs w:val="24"/>
              </w:rPr>
              <w:t>$1.493 billion</w:t>
            </w:r>
          </w:p>
          <w:p w14:paraId="4E1C1065" w14:textId="4B8492D2" w:rsidR="00176DC4" w:rsidRDefault="00176DC4" w:rsidP="00176DC4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Depreciation &amp; amortisation (D&amp;A) </w:t>
            </w:r>
            <w:r>
              <w:rPr>
                <w:color w:val="385623" w:themeColor="accent6" w:themeShade="80"/>
                <w:sz w:val="24"/>
                <w:szCs w:val="24"/>
              </w:rPr>
              <w:t>$115.4 million</w:t>
            </w:r>
          </w:p>
          <w:p w14:paraId="25ADD84C" w14:textId="283533AD" w:rsidR="00176DC4" w:rsidRDefault="00176DC4" w:rsidP="00176DC4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NOPAT </w:t>
            </w:r>
            <w:r>
              <w:rPr>
                <w:color w:val="385623" w:themeColor="accent6" w:themeShade="80"/>
                <w:sz w:val="24"/>
                <w:szCs w:val="24"/>
              </w:rPr>
              <w:t>-$18.6 million</w:t>
            </w:r>
          </w:p>
          <w:p w14:paraId="084A8F9C" w14:textId="076F0C85" w:rsidR="004E5981" w:rsidRPr="00176DC4" w:rsidRDefault="00176DC4" w:rsidP="00176DC4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 capitalisation </w:t>
            </w:r>
            <w:r>
              <w:rPr>
                <w:color w:val="538135" w:themeColor="accent6" w:themeShade="BF"/>
                <w:sz w:val="24"/>
                <w:szCs w:val="24"/>
              </w:rPr>
              <w:t>Share priced $70 per share multiplied by 91.6m shares = = $6.4 billion market capitalisation</w:t>
            </w:r>
          </w:p>
        </w:tc>
        <w:tc>
          <w:tcPr>
            <w:tcW w:w="3321" w:type="dxa"/>
          </w:tcPr>
          <w:p w14:paraId="2F74084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7301521">
    <w:abstractNumId w:val="0"/>
  </w:num>
  <w:num w:numId="2" w16cid:durableId="655453270">
    <w:abstractNumId w:val="1"/>
  </w:num>
  <w:num w:numId="3" w16cid:durableId="611087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0F011D"/>
    <w:rsid w:val="00122201"/>
    <w:rsid w:val="00122398"/>
    <w:rsid w:val="00176DC4"/>
    <w:rsid w:val="0025661D"/>
    <w:rsid w:val="004E5981"/>
    <w:rsid w:val="005268D2"/>
    <w:rsid w:val="00573CD3"/>
    <w:rsid w:val="005B7E28"/>
    <w:rsid w:val="006B2BD5"/>
    <w:rsid w:val="006F32C4"/>
    <w:rsid w:val="00855FD9"/>
    <w:rsid w:val="008B1A55"/>
    <w:rsid w:val="00916772"/>
    <w:rsid w:val="00950808"/>
    <w:rsid w:val="00A545B2"/>
    <w:rsid w:val="00AA4119"/>
    <w:rsid w:val="00B24354"/>
    <w:rsid w:val="00B62F2B"/>
    <w:rsid w:val="00BE0E21"/>
    <w:rsid w:val="00C5151B"/>
    <w:rsid w:val="00D8206B"/>
    <w:rsid w:val="00D82524"/>
    <w:rsid w:val="00E0071D"/>
    <w:rsid w:val="00F36482"/>
    <w:rsid w:val="00F77101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2025-07-03T23:28:00Z</dcterms:created>
  <dcterms:modified xsi:type="dcterms:W3CDTF">2025-07-03T23:28:00Z</dcterms:modified>
</cp:coreProperties>
</file>