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9AC3B" w14:textId="77777777" w:rsidR="003057FD" w:rsidRPr="00042D01" w:rsidRDefault="003057FD" w:rsidP="00042D01">
      <w:pPr>
        <w:spacing w:line="480" w:lineRule="auto"/>
        <w:rPr>
          <w:rFonts w:ascii="Arial" w:hAnsi="Arial" w:cs="Arial"/>
          <w:b/>
          <w:bCs/>
          <w:sz w:val="24"/>
          <w:szCs w:val="24"/>
        </w:rPr>
      </w:pPr>
      <w:r w:rsidRPr="00042D01">
        <w:rPr>
          <w:rFonts w:ascii="Arial" w:hAnsi="Arial" w:cs="Arial"/>
          <w:b/>
          <w:bCs/>
          <w:sz w:val="24"/>
          <w:szCs w:val="24"/>
        </w:rPr>
        <w:t>Case Study: Accuracy of information</w:t>
      </w:r>
    </w:p>
    <w:p w14:paraId="5E201DF9" w14:textId="5F8741D5" w:rsidR="007249DF" w:rsidRPr="00042D01" w:rsidRDefault="007249DF" w:rsidP="00042D01">
      <w:pPr>
        <w:spacing w:line="480" w:lineRule="auto"/>
        <w:rPr>
          <w:rFonts w:ascii="Arial" w:hAnsi="Arial" w:cs="Arial"/>
          <w:sz w:val="24"/>
          <w:szCs w:val="24"/>
        </w:rPr>
      </w:pPr>
      <w:r w:rsidRPr="00042D01">
        <w:rPr>
          <w:rFonts w:ascii="Arial" w:hAnsi="Arial" w:cs="Arial"/>
          <w:sz w:val="24"/>
          <w:szCs w:val="24"/>
        </w:rPr>
        <w:t xml:space="preserve">Abi’s case presents a complex ethical dilemma at the intersection of statistical integrity and professional responsibility. While he has not fabricated data, selectively analysing results to portray </w:t>
      </w:r>
      <w:r w:rsidRPr="00042D01">
        <w:rPr>
          <w:rFonts w:ascii="Arial" w:hAnsi="Arial" w:cs="Arial"/>
          <w:i/>
          <w:iCs/>
          <w:sz w:val="24"/>
          <w:szCs w:val="24"/>
        </w:rPr>
        <w:t>Whizzz</w:t>
      </w:r>
      <w:r w:rsidRPr="00042D01">
        <w:rPr>
          <w:rFonts w:ascii="Arial" w:hAnsi="Arial" w:cs="Arial"/>
          <w:sz w:val="24"/>
          <w:szCs w:val="24"/>
        </w:rPr>
        <w:t xml:space="preserve"> cereal in a more favourable light</w:t>
      </w:r>
      <w:r w:rsidR="003057FD" w:rsidRPr="00042D01">
        <w:rPr>
          <w:rFonts w:ascii="Arial" w:hAnsi="Arial" w:cs="Arial"/>
          <w:sz w:val="24"/>
          <w:szCs w:val="24"/>
        </w:rPr>
        <w:t xml:space="preserve"> </w:t>
      </w:r>
      <w:r w:rsidRPr="00042D01">
        <w:rPr>
          <w:rFonts w:ascii="Arial" w:hAnsi="Arial" w:cs="Arial"/>
          <w:sz w:val="24"/>
          <w:szCs w:val="24"/>
        </w:rPr>
        <w:t>despite evidence of potential harm</w:t>
      </w:r>
      <w:r w:rsidR="003057FD" w:rsidRPr="00042D01">
        <w:rPr>
          <w:rFonts w:ascii="Arial" w:hAnsi="Arial" w:cs="Arial"/>
          <w:sz w:val="24"/>
          <w:szCs w:val="24"/>
        </w:rPr>
        <w:t xml:space="preserve"> </w:t>
      </w:r>
      <w:r w:rsidRPr="00042D01">
        <w:rPr>
          <w:rFonts w:ascii="Arial" w:hAnsi="Arial" w:cs="Arial"/>
          <w:sz w:val="24"/>
          <w:szCs w:val="24"/>
        </w:rPr>
        <w:t xml:space="preserve">constitutes a serious breach of research ethics. Selective reporting can mislead stakeholders and undermine the credibility of both the researcher and the research institution </w:t>
      </w:r>
      <w:sdt>
        <w:sdtPr>
          <w:rPr>
            <w:rFonts w:ascii="Arial" w:hAnsi="Arial" w:cs="Arial"/>
            <w:color w:val="000000"/>
            <w:sz w:val="24"/>
            <w:szCs w:val="24"/>
          </w:rPr>
          <w:tag w:val="MENDELEY_CITATION_v3_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"/>
          <w:id w:val="2077314009"/>
          <w:placeholder>
            <w:docPart w:val="DefaultPlaceholder_-1854013440"/>
          </w:placeholder>
        </w:sdtPr>
        <w:sdtContent>
          <w:r w:rsidR="009B180D" w:rsidRPr="00042D01">
            <w:rPr>
              <w:rFonts w:ascii="Arial" w:hAnsi="Arial" w:cs="Arial"/>
              <w:color w:val="000000"/>
              <w:sz w:val="24"/>
              <w:szCs w:val="24"/>
            </w:rPr>
            <w:t>(Ioannidis, 2005)</w:t>
          </w:r>
        </w:sdtContent>
      </w:sdt>
      <w:r w:rsidRPr="00042D01">
        <w:rPr>
          <w:rFonts w:ascii="Arial" w:hAnsi="Arial" w:cs="Arial"/>
          <w:sz w:val="24"/>
          <w:szCs w:val="24"/>
        </w:rPr>
        <w:t>.</w:t>
      </w:r>
    </w:p>
    <w:p w14:paraId="112AC91A" w14:textId="1F7CD4C6" w:rsidR="007249DF" w:rsidRPr="00042D01" w:rsidRDefault="007249DF" w:rsidP="00042D01">
      <w:pPr>
        <w:spacing w:line="480" w:lineRule="auto"/>
        <w:rPr>
          <w:rFonts w:ascii="Arial" w:hAnsi="Arial" w:cs="Arial"/>
          <w:sz w:val="24"/>
          <w:szCs w:val="24"/>
        </w:rPr>
      </w:pPr>
      <w:r w:rsidRPr="00042D01">
        <w:rPr>
          <w:rFonts w:ascii="Arial" w:hAnsi="Arial" w:cs="Arial"/>
          <w:sz w:val="24"/>
          <w:szCs w:val="24"/>
        </w:rPr>
        <w:t xml:space="preserve">Ethically, Abi is obliged to present both the positive and negative analyses. </w:t>
      </w:r>
      <w:sdt>
        <w:sdtPr>
          <w:rPr>
            <w:rFonts w:ascii="Arial" w:hAnsi="Arial" w:cs="Arial"/>
            <w:color w:val="000000"/>
            <w:sz w:val="24"/>
            <w:szCs w:val="24"/>
          </w:rPr>
          <w:tag w:val="MENDELEY_CITATION_v3_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"/>
          <w:id w:val="1968234127"/>
          <w:placeholder>
            <w:docPart w:val="DefaultPlaceholder_-1854013440"/>
          </w:placeholder>
        </w:sdtPr>
        <w:sdtContent>
          <w:r w:rsidR="009B180D" w:rsidRPr="00042D01">
            <w:rPr>
              <w:rFonts w:ascii="Arial" w:hAnsi="Arial" w:cs="Arial"/>
              <w:color w:val="000000"/>
              <w:sz w:val="24"/>
              <w:szCs w:val="24"/>
            </w:rPr>
            <w:t>Ethical Guidelines for Statistical Practice (2018)</w:t>
          </w:r>
        </w:sdtContent>
      </w:sdt>
      <w:r w:rsidRPr="00042D01">
        <w:rPr>
          <w:rFonts w:ascii="Arial" w:hAnsi="Arial" w:cs="Arial"/>
          <w:sz w:val="24"/>
          <w:szCs w:val="24"/>
        </w:rPr>
        <w:t xml:space="preserve"> emphasises the duty of statisticians to ensure their work is honest, transparent, and not misleading, regardless of sponsor interests. Omitting adverse findings</w:t>
      </w:r>
      <w:r w:rsidR="003057FD" w:rsidRPr="00042D01">
        <w:rPr>
          <w:rFonts w:ascii="Arial" w:hAnsi="Arial" w:cs="Arial"/>
          <w:sz w:val="24"/>
          <w:szCs w:val="24"/>
        </w:rPr>
        <w:t xml:space="preserve"> </w:t>
      </w:r>
      <w:r w:rsidRPr="00042D01">
        <w:rPr>
          <w:rFonts w:ascii="Arial" w:hAnsi="Arial" w:cs="Arial"/>
          <w:sz w:val="24"/>
          <w:szCs w:val="24"/>
        </w:rPr>
        <w:t>intentionally or otherwise</w:t>
      </w:r>
      <w:r w:rsidR="003057FD" w:rsidRPr="00042D01">
        <w:rPr>
          <w:rFonts w:ascii="Arial" w:hAnsi="Arial" w:cs="Arial"/>
          <w:sz w:val="24"/>
          <w:szCs w:val="24"/>
        </w:rPr>
        <w:t xml:space="preserve"> </w:t>
      </w:r>
      <w:r w:rsidRPr="00042D01">
        <w:rPr>
          <w:rFonts w:ascii="Arial" w:hAnsi="Arial" w:cs="Arial"/>
          <w:sz w:val="24"/>
          <w:szCs w:val="24"/>
        </w:rPr>
        <w:t>risks contributing to misinformation and could have significant public health implications, particularly if the cereal is marketed to vulnerable populations such as children.</w:t>
      </w:r>
    </w:p>
    <w:p w14:paraId="3171B6A6" w14:textId="048ACB44" w:rsidR="007249DF" w:rsidRPr="00042D01" w:rsidRDefault="007249DF" w:rsidP="00042D01">
      <w:pPr>
        <w:spacing w:line="480" w:lineRule="auto"/>
        <w:rPr>
          <w:rFonts w:ascii="Arial" w:hAnsi="Arial" w:cs="Arial"/>
          <w:sz w:val="24"/>
          <w:szCs w:val="24"/>
        </w:rPr>
      </w:pPr>
      <w:r w:rsidRPr="00042D01">
        <w:rPr>
          <w:rFonts w:ascii="Arial" w:hAnsi="Arial" w:cs="Arial"/>
          <w:sz w:val="24"/>
          <w:szCs w:val="24"/>
        </w:rPr>
        <w:t xml:space="preserve">Legally, Abi’s actions could fall under scrutiny from regulatory bodies. </w:t>
      </w:r>
      <w:r w:rsidR="003057FD" w:rsidRPr="00042D01">
        <w:rPr>
          <w:rFonts w:ascii="Arial" w:hAnsi="Arial" w:cs="Arial"/>
          <w:sz w:val="24"/>
          <w:szCs w:val="24"/>
        </w:rPr>
        <w:t xml:space="preserve">For instance </w:t>
      </w:r>
      <w:r w:rsidRPr="00042D01">
        <w:rPr>
          <w:rFonts w:ascii="Arial" w:hAnsi="Arial" w:cs="Arial"/>
          <w:sz w:val="24"/>
          <w:szCs w:val="24"/>
        </w:rPr>
        <w:t xml:space="preserve">In the UK, </w:t>
      </w:r>
      <w:sdt>
        <w:sdtPr>
          <w:rPr>
            <w:rFonts w:ascii="Arial" w:hAnsi="Arial" w:cs="Arial"/>
            <w:color w:val="000000"/>
            <w:sz w:val="24"/>
            <w:szCs w:val="24"/>
          </w:rPr>
          <w:tag w:val="MENDELEY_CITATION_v3_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"/>
          <w:id w:val="494767876"/>
          <w:placeholder>
            <w:docPart w:val="DefaultPlaceholder_-1854013440"/>
          </w:placeholder>
        </w:sdtPr>
        <w:sdtContent>
          <w:r w:rsidR="009B180D" w:rsidRPr="00042D01">
            <w:rPr>
              <w:rFonts w:ascii="Arial" w:eastAsia="Times New Roman" w:hAnsi="Arial" w:cs="Arial"/>
              <w:i/>
              <w:iCs/>
              <w:color w:val="000000"/>
              <w:sz w:val="24"/>
              <w:szCs w:val="24"/>
            </w:rPr>
            <w:t>Food Safety Act 1990 (no date)</w:t>
          </w:r>
        </w:sdtContent>
      </w:sdt>
      <w:r w:rsidRPr="00042D01">
        <w:rPr>
          <w:rFonts w:ascii="Arial" w:hAnsi="Arial" w:cs="Arial"/>
          <w:sz w:val="24"/>
          <w:szCs w:val="24"/>
        </w:rPr>
        <w:t xml:space="preserve"> requires accurate representation of nutritional content. Similarly,  </w:t>
      </w:r>
      <w:sdt>
        <w:sdtPr>
          <w:rPr>
            <w:rFonts w:ascii="Arial" w:hAnsi="Arial" w:cs="Arial"/>
            <w:color w:val="000000"/>
            <w:sz w:val="24"/>
            <w:szCs w:val="24"/>
          </w:rPr>
          <w:tag w:val="MENDELEY_CITATION_v3_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"/>
          <w:id w:val="1049195347"/>
          <w:placeholder>
            <w:docPart w:val="DefaultPlaceholder_-1854013440"/>
          </w:placeholder>
        </w:sdtPr>
        <w:sdtContent>
          <w:r w:rsidR="009B180D" w:rsidRPr="00042D01">
            <w:rPr>
              <w:rFonts w:ascii="Arial" w:eastAsia="Times New Roman" w:hAnsi="Arial" w:cs="Arial"/>
              <w:i/>
              <w:iCs/>
              <w:color w:val="000000"/>
              <w:sz w:val="24"/>
              <w:szCs w:val="24"/>
            </w:rPr>
            <w:t>Nutrition, Food Labeling, and Critical Foods | FDA (no date)</w:t>
          </w:r>
        </w:sdtContent>
      </w:sdt>
      <w:r w:rsidRPr="00042D01">
        <w:rPr>
          <w:rFonts w:ascii="Arial" w:hAnsi="Arial" w:cs="Arial"/>
          <w:sz w:val="24"/>
          <w:szCs w:val="24"/>
        </w:rPr>
        <w:t xml:space="preserve"> enforces strict labelling requirements to ensure consumer protection. Suppressing unfavourable data could therefore expose both Abi and the manufacturer to legal liability.</w:t>
      </w:r>
      <w:r w:rsidR="003057FD" w:rsidRPr="00042D01">
        <w:rPr>
          <w:rFonts w:ascii="Arial" w:hAnsi="Arial" w:cs="Arial"/>
          <w:sz w:val="24"/>
          <w:szCs w:val="24"/>
        </w:rPr>
        <w:t xml:space="preserve"> </w:t>
      </w:r>
    </w:p>
    <w:p w14:paraId="7278CDBA" w14:textId="67BEB2D9" w:rsidR="007249DF" w:rsidRPr="00042D01" w:rsidRDefault="007249DF" w:rsidP="00042D01">
      <w:pPr>
        <w:spacing w:line="480" w:lineRule="auto"/>
        <w:rPr>
          <w:rFonts w:ascii="Arial" w:hAnsi="Arial" w:cs="Arial"/>
          <w:sz w:val="24"/>
          <w:szCs w:val="24"/>
        </w:rPr>
      </w:pPr>
      <w:r w:rsidRPr="00042D01">
        <w:rPr>
          <w:rFonts w:ascii="Arial" w:hAnsi="Arial" w:cs="Arial"/>
          <w:sz w:val="24"/>
          <w:szCs w:val="24"/>
        </w:rPr>
        <w:t xml:space="preserve">Professionally, Abi must consider the long-term consequences of compromised integrity. Should </w:t>
      </w:r>
      <w:r w:rsidR="003057FD" w:rsidRPr="00042D01">
        <w:rPr>
          <w:rFonts w:ascii="Arial" w:hAnsi="Arial" w:cs="Arial"/>
          <w:sz w:val="24"/>
          <w:szCs w:val="24"/>
        </w:rPr>
        <w:t>Abi</w:t>
      </w:r>
      <w:r w:rsidRPr="00042D01">
        <w:rPr>
          <w:rFonts w:ascii="Arial" w:hAnsi="Arial" w:cs="Arial"/>
          <w:sz w:val="24"/>
          <w:szCs w:val="24"/>
        </w:rPr>
        <w:t xml:space="preserve"> suspect</w:t>
      </w:r>
      <w:r w:rsidR="003057FD" w:rsidRPr="00042D01">
        <w:rPr>
          <w:rFonts w:ascii="Arial" w:hAnsi="Arial" w:cs="Arial"/>
          <w:sz w:val="24"/>
          <w:szCs w:val="24"/>
        </w:rPr>
        <w:t>s</w:t>
      </w:r>
      <w:r w:rsidRPr="00042D01">
        <w:rPr>
          <w:rFonts w:ascii="Arial" w:hAnsi="Arial" w:cs="Arial"/>
          <w:sz w:val="24"/>
          <w:szCs w:val="24"/>
        </w:rPr>
        <w:t xml:space="preserve"> the manufacturer intends to publish only positive findings, a prudent course of action would be to document and disclose the full analysis through peer-reviewed publication or a public data repository. He may also seek guidance from an ethics committee if consumer safety is at risk.</w:t>
      </w:r>
    </w:p>
    <w:p w14:paraId="1F794718" w14:textId="77777777" w:rsidR="007249DF" w:rsidRPr="00042D01" w:rsidRDefault="007249DF" w:rsidP="00042D01">
      <w:pPr>
        <w:spacing w:line="480" w:lineRule="auto"/>
        <w:rPr>
          <w:rFonts w:ascii="Arial" w:hAnsi="Arial" w:cs="Arial"/>
          <w:sz w:val="24"/>
          <w:szCs w:val="24"/>
        </w:rPr>
      </w:pPr>
      <w:r w:rsidRPr="00042D01">
        <w:rPr>
          <w:rFonts w:ascii="Arial" w:hAnsi="Arial" w:cs="Arial"/>
          <w:sz w:val="24"/>
          <w:szCs w:val="24"/>
        </w:rPr>
        <w:lastRenderedPageBreak/>
        <w:t>Ultimately, while statistical tools can support multiple interpretations, responsible practice demands transparency, accountability, and a commitment to the public interest.</w:t>
      </w:r>
    </w:p>
    <w:p w14:paraId="1CCC272B" w14:textId="77777777" w:rsidR="001A1831" w:rsidRPr="00042D01" w:rsidRDefault="001A1831" w:rsidP="00042D01">
      <w:pPr>
        <w:spacing w:line="480" w:lineRule="auto"/>
        <w:rPr>
          <w:rFonts w:ascii="Arial" w:hAnsi="Arial" w:cs="Arial"/>
          <w:sz w:val="24"/>
          <w:szCs w:val="24"/>
        </w:rPr>
      </w:pPr>
      <w:r w:rsidRPr="00042D01">
        <w:rPr>
          <w:rFonts w:ascii="Arial" w:hAnsi="Arial" w:cs="Arial"/>
          <w:sz w:val="24"/>
          <w:szCs w:val="24"/>
        </w:rPr>
        <w:t>References</w:t>
      </w:r>
    </w:p>
    <w:sdt>
      <w:sdtPr>
        <w:rPr>
          <w:rFonts w:ascii="Arial" w:hAnsi="Arial" w:cs="Arial"/>
          <w:sz w:val="24"/>
          <w:szCs w:val="24"/>
        </w:rPr>
        <w:tag w:val="MENDELEY_BIBLIOGRAPHY"/>
        <w:id w:val="858700343"/>
        <w:placeholder>
          <w:docPart w:val="A714187BBCD1455F9C11259977F29A9D"/>
        </w:placeholder>
      </w:sdtPr>
      <w:sdtContent>
        <w:p w14:paraId="1B659299" w14:textId="77777777" w:rsidR="009B180D" w:rsidRPr="00042D01" w:rsidRDefault="009B180D" w:rsidP="00042D01">
          <w:pPr>
            <w:spacing w:line="480" w:lineRule="auto"/>
            <w:divId w:val="1235240364"/>
            <w:rPr>
              <w:rFonts w:ascii="Arial" w:eastAsia="Times New Roman" w:hAnsi="Arial" w:cs="Arial"/>
              <w:kern w:val="0"/>
              <w:sz w:val="24"/>
              <w:szCs w:val="24"/>
              <w14:ligatures w14:val="none"/>
            </w:rPr>
          </w:pPr>
          <w:r w:rsidRPr="00042D01">
            <w:rPr>
              <w:rFonts w:ascii="Arial" w:eastAsia="Times New Roman" w:hAnsi="Arial" w:cs="Arial"/>
              <w:i/>
              <w:iCs/>
              <w:sz w:val="24"/>
              <w:szCs w:val="24"/>
            </w:rPr>
            <w:t>Ethical Guidelines for Statistical Practice</w:t>
          </w:r>
          <w:r w:rsidRPr="00042D01">
            <w:rPr>
              <w:rFonts w:ascii="Arial" w:eastAsia="Times New Roman" w:hAnsi="Arial" w:cs="Arial"/>
              <w:sz w:val="24"/>
              <w:szCs w:val="24"/>
            </w:rPr>
            <w:t xml:space="preserve"> (no date). Available at: https://www.amstat.org/your-career/ethical-guidelines-for-statistical-practice (Accessed: 13 June 2025).</w:t>
          </w:r>
        </w:p>
        <w:p w14:paraId="22B5C476" w14:textId="77777777" w:rsidR="009B180D" w:rsidRPr="00042D01" w:rsidRDefault="009B180D" w:rsidP="00042D01">
          <w:pPr>
            <w:spacing w:line="480" w:lineRule="auto"/>
            <w:divId w:val="1508515949"/>
            <w:rPr>
              <w:rFonts w:ascii="Arial" w:eastAsia="Times New Roman" w:hAnsi="Arial" w:cs="Arial"/>
              <w:sz w:val="24"/>
              <w:szCs w:val="24"/>
            </w:rPr>
          </w:pPr>
          <w:r w:rsidRPr="00042D01">
            <w:rPr>
              <w:rFonts w:ascii="Arial" w:eastAsia="Times New Roman" w:hAnsi="Arial" w:cs="Arial"/>
              <w:i/>
              <w:iCs/>
              <w:sz w:val="24"/>
              <w:szCs w:val="24"/>
            </w:rPr>
            <w:t>Food Safety Act 1990</w:t>
          </w:r>
          <w:r w:rsidRPr="00042D01">
            <w:rPr>
              <w:rFonts w:ascii="Arial" w:eastAsia="Times New Roman" w:hAnsi="Arial" w:cs="Arial"/>
              <w:sz w:val="24"/>
              <w:szCs w:val="24"/>
            </w:rPr>
            <w:t xml:space="preserve"> (no date). Available at: https://www.legislation.gov.uk/ukpga/1990/16/contents (Accessed: 13 June 2025).</w:t>
          </w:r>
        </w:p>
        <w:p w14:paraId="323EA448" w14:textId="77777777" w:rsidR="009B180D" w:rsidRPr="00042D01" w:rsidRDefault="009B180D" w:rsidP="00042D01">
          <w:pPr>
            <w:spacing w:line="480" w:lineRule="auto"/>
            <w:divId w:val="922371141"/>
            <w:rPr>
              <w:rFonts w:ascii="Arial" w:eastAsia="Times New Roman" w:hAnsi="Arial" w:cs="Arial"/>
              <w:sz w:val="24"/>
              <w:szCs w:val="24"/>
            </w:rPr>
          </w:pPr>
          <w:r w:rsidRPr="00042D01">
            <w:rPr>
              <w:rFonts w:ascii="Arial" w:eastAsia="Times New Roman" w:hAnsi="Arial" w:cs="Arial"/>
              <w:sz w:val="24"/>
              <w:szCs w:val="24"/>
            </w:rPr>
            <w:t xml:space="preserve">Ioannidis, J.P.A. (2005) ‘Why Most Published Research Findings Are False’, </w:t>
          </w:r>
          <w:r w:rsidRPr="00042D01">
            <w:rPr>
              <w:rFonts w:ascii="Arial" w:eastAsia="Times New Roman" w:hAnsi="Arial" w:cs="Arial"/>
              <w:i/>
              <w:iCs/>
              <w:sz w:val="24"/>
              <w:szCs w:val="24"/>
            </w:rPr>
            <w:t>PLOS Medicine</w:t>
          </w:r>
          <w:r w:rsidRPr="00042D01">
            <w:rPr>
              <w:rFonts w:ascii="Arial" w:eastAsia="Times New Roman" w:hAnsi="Arial" w:cs="Arial"/>
              <w:sz w:val="24"/>
              <w:szCs w:val="24"/>
            </w:rPr>
            <w:t>, 2(8), p. e124. Available at: https://doi.org/10.1371/JOURNAL.PMED.0020124.</w:t>
          </w:r>
        </w:p>
        <w:p w14:paraId="28312796" w14:textId="77777777" w:rsidR="009B180D" w:rsidRPr="00042D01" w:rsidRDefault="009B180D" w:rsidP="00042D01">
          <w:pPr>
            <w:spacing w:line="480" w:lineRule="auto"/>
            <w:divId w:val="1856921067"/>
            <w:rPr>
              <w:rFonts w:ascii="Arial" w:eastAsia="Times New Roman" w:hAnsi="Arial" w:cs="Arial"/>
              <w:sz w:val="24"/>
              <w:szCs w:val="24"/>
            </w:rPr>
          </w:pPr>
          <w:r w:rsidRPr="00042D01">
            <w:rPr>
              <w:rFonts w:ascii="Arial" w:eastAsia="Times New Roman" w:hAnsi="Arial" w:cs="Arial"/>
              <w:i/>
              <w:iCs/>
              <w:sz w:val="24"/>
              <w:szCs w:val="24"/>
            </w:rPr>
            <w:t>Nutrition, Food Labeling, and Critical Foods | FDA</w:t>
          </w:r>
          <w:r w:rsidRPr="00042D01">
            <w:rPr>
              <w:rFonts w:ascii="Arial" w:eastAsia="Times New Roman" w:hAnsi="Arial" w:cs="Arial"/>
              <w:sz w:val="24"/>
              <w:szCs w:val="24"/>
            </w:rPr>
            <w:t xml:space="preserve"> (no date). Available at: https://www.fda.gov/food/nutrition-food-labeling-and-critical-foods (Accessed: 13 June 2025).</w:t>
          </w:r>
        </w:p>
        <w:p w14:paraId="4C024D70" w14:textId="00C87FA3" w:rsidR="001A1831" w:rsidRPr="00042D01" w:rsidRDefault="009B180D" w:rsidP="00042D01">
          <w:pPr>
            <w:spacing w:line="480" w:lineRule="auto"/>
            <w:rPr>
              <w:rFonts w:ascii="Arial" w:hAnsi="Arial" w:cs="Arial"/>
              <w:sz w:val="24"/>
              <w:szCs w:val="24"/>
            </w:rPr>
          </w:pPr>
          <w:r w:rsidRPr="00042D01">
            <w:rPr>
              <w:rFonts w:ascii="Arial" w:eastAsia="Times New Roman" w:hAnsi="Arial" w:cs="Arial"/>
              <w:sz w:val="24"/>
              <w:szCs w:val="24"/>
            </w:rPr>
            <w:t> </w:t>
          </w:r>
        </w:p>
      </w:sdtContent>
    </w:sdt>
    <w:p w14:paraId="161D35B8" w14:textId="77777777" w:rsidR="001A1831" w:rsidRPr="00042D01" w:rsidRDefault="001A1831" w:rsidP="00042D01">
      <w:pPr>
        <w:spacing w:line="480" w:lineRule="auto"/>
        <w:rPr>
          <w:rFonts w:ascii="Arial" w:hAnsi="Arial" w:cs="Arial"/>
          <w:sz w:val="24"/>
          <w:szCs w:val="24"/>
        </w:rPr>
      </w:pPr>
    </w:p>
    <w:sectPr w:rsidR="001A1831" w:rsidRPr="0004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3323"/>
    <w:multiLevelType w:val="multilevel"/>
    <w:tmpl w:val="E12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DF"/>
    <w:rsid w:val="00042D01"/>
    <w:rsid w:val="001A1831"/>
    <w:rsid w:val="001F56A6"/>
    <w:rsid w:val="00232A2C"/>
    <w:rsid w:val="003057FD"/>
    <w:rsid w:val="007249DF"/>
    <w:rsid w:val="007B1E74"/>
    <w:rsid w:val="007E722C"/>
    <w:rsid w:val="00864B69"/>
    <w:rsid w:val="009B180D"/>
    <w:rsid w:val="00A71EC0"/>
    <w:rsid w:val="00E8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9E51"/>
  <w15:chartTrackingRefBased/>
  <w15:docId w15:val="{24BFCB43-5534-44E7-822B-1023510F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9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9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49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9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9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9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249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9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9DF"/>
    <w:rPr>
      <w:rFonts w:eastAsiaTheme="majorEastAsia" w:cstheme="majorBidi"/>
      <w:color w:val="272727" w:themeColor="text1" w:themeTint="D8"/>
    </w:rPr>
  </w:style>
  <w:style w:type="paragraph" w:styleId="Title">
    <w:name w:val="Title"/>
    <w:basedOn w:val="Normal"/>
    <w:next w:val="Normal"/>
    <w:link w:val="TitleChar"/>
    <w:uiPriority w:val="10"/>
    <w:qFormat/>
    <w:rsid w:val="00724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9DF"/>
    <w:pPr>
      <w:spacing w:before="160"/>
      <w:jc w:val="center"/>
    </w:pPr>
    <w:rPr>
      <w:i/>
      <w:iCs/>
      <w:color w:val="404040" w:themeColor="text1" w:themeTint="BF"/>
    </w:rPr>
  </w:style>
  <w:style w:type="character" w:customStyle="1" w:styleId="QuoteChar">
    <w:name w:val="Quote Char"/>
    <w:basedOn w:val="DefaultParagraphFont"/>
    <w:link w:val="Quote"/>
    <w:uiPriority w:val="29"/>
    <w:rsid w:val="007249DF"/>
    <w:rPr>
      <w:i/>
      <w:iCs/>
      <w:color w:val="404040" w:themeColor="text1" w:themeTint="BF"/>
    </w:rPr>
  </w:style>
  <w:style w:type="paragraph" w:styleId="ListParagraph">
    <w:name w:val="List Paragraph"/>
    <w:basedOn w:val="Normal"/>
    <w:uiPriority w:val="34"/>
    <w:qFormat/>
    <w:rsid w:val="007249DF"/>
    <w:pPr>
      <w:ind w:left="720"/>
      <w:contextualSpacing/>
    </w:pPr>
  </w:style>
  <w:style w:type="character" w:styleId="IntenseEmphasis">
    <w:name w:val="Intense Emphasis"/>
    <w:basedOn w:val="DefaultParagraphFont"/>
    <w:uiPriority w:val="21"/>
    <w:qFormat/>
    <w:rsid w:val="007249DF"/>
    <w:rPr>
      <w:i/>
      <w:iCs/>
      <w:color w:val="2F5496" w:themeColor="accent1" w:themeShade="BF"/>
    </w:rPr>
  </w:style>
  <w:style w:type="paragraph" w:styleId="IntenseQuote">
    <w:name w:val="Intense Quote"/>
    <w:basedOn w:val="Normal"/>
    <w:next w:val="Normal"/>
    <w:link w:val="IntenseQuoteChar"/>
    <w:uiPriority w:val="30"/>
    <w:qFormat/>
    <w:rsid w:val="007249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9DF"/>
    <w:rPr>
      <w:i/>
      <w:iCs/>
      <w:color w:val="2F5496" w:themeColor="accent1" w:themeShade="BF"/>
    </w:rPr>
  </w:style>
  <w:style w:type="character" w:styleId="IntenseReference">
    <w:name w:val="Intense Reference"/>
    <w:basedOn w:val="DefaultParagraphFont"/>
    <w:uiPriority w:val="32"/>
    <w:qFormat/>
    <w:rsid w:val="007249DF"/>
    <w:rPr>
      <w:b/>
      <w:bCs/>
      <w:smallCaps/>
      <w:color w:val="2F5496" w:themeColor="accent1" w:themeShade="BF"/>
      <w:spacing w:val="5"/>
    </w:rPr>
  </w:style>
  <w:style w:type="character" w:styleId="PlaceholderText">
    <w:name w:val="Placeholder Text"/>
    <w:basedOn w:val="DefaultParagraphFont"/>
    <w:uiPriority w:val="99"/>
    <w:semiHidden/>
    <w:rsid w:val="007249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9542">
      <w:bodyDiv w:val="1"/>
      <w:marLeft w:val="0"/>
      <w:marRight w:val="0"/>
      <w:marTop w:val="0"/>
      <w:marBottom w:val="0"/>
      <w:divBdr>
        <w:top w:val="none" w:sz="0" w:space="0" w:color="auto"/>
        <w:left w:val="none" w:sz="0" w:space="0" w:color="auto"/>
        <w:bottom w:val="none" w:sz="0" w:space="0" w:color="auto"/>
        <w:right w:val="none" w:sz="0" w:space="0" w:color="auto"/>
      </w:divBdr>
    </w:div>
    <w:div w:id="293605916">
      <w:bodyDiv w:val="1"/>
      <w:marLeft w:val="0"/>
      <w:marRight w:val="0"/>
      <w:marTop w:val="0"/>
      <w:marBottom w:val="0"/>
      <w:divBdr>
        <w:top w:val="none" w:sz="0" w:space="0" w:color="auto"/>
        <w:left w:val="none" w:sz="0" w:space="0" w:color="auto"/>
        <w:bottom w:val="none" w:sz="0" w:space="0" w:color="auto"/>
        <w:right w:val="none" w:sz="0" w:space="0" w:color="auto"/>
      </w:divBdr>
    </w:div>
    <w:div w:id="768815459">
      <w:bodyDiv w:val="1"/>
      <w:marLeft w:val="0"/>
      <w:marRight w:val="0"/>
      <w:marTop w:val="0"/>
      <w:marBottom w:val="0"/>
      <w:divBdr>
        <w:top w:val="none" w:sz="0" w:space="0" w:color="auto"/>
        <w:left w:val="none" w:sz="0" w:space="0" w:color="auto"/>
        <w:bottom w:val="none" w:sz="0" w:space="0" w:color="auto"/>
        <w:right w:val="none" w:sz="0" w:space="0" w:color="auto"/>
      </w:divBdr>
      <w:divsChild>
        <w:div w:id="1086613626">
          <w:marLeft w:val="0"/>
          <w:marRight w:val="0"/>
          <w:marTop w:val="0"/>
          <w:marBottom w:val="0"/>
          <w:divBdr>
            <w:top w:val="none" w:sz="0" w:space="0" w:color="auto"/>
            <w:left w:val="none" w:sz="0" w:space="0" w:color="auto"/>
            <w:bottom w:val="none" w:sz="0" w:space="0" w:color="auto"/>
            <w:right w:val="none" w:sz="0" w:space="0" w:color="auto"/>
          </w:divBdr>
          <w:divsChild>
            <w:div w:id="1789276525">
              <w:marLeft w:val="0"/>
              <w:marRight w:val="0"/>
              <w:marTop w:val="0"/>
              <w:marBottom w:val="0"/>
              <w:divBdr>
                <w:top w:val="none" w:sz="0" w:space="0" w:color="auto"/>
                <w:left w:val="none" w:sz="0" w:space="0" w:color="auto"/>
                <w:bottom w:val="none" w:sz="0" w:space="0" w:color="auto"/>
                <w:right w:val="none" w:sz="0" w:space="0" w:color="auto"/>
              </w:divBdr>
              <w:divsChild>
                <w:div w:id="554002168">
                  <w:marLeft w:val="0"/>
                  <w:marRight w:val="0"/>
                  <w:marTop w:val="0"/>
                  <w:marBottom w:val="0"/>
                  <w:divBdr>
                    <w:top w:val="none" w:sz="0" w:space="0" w:color="auto"/>
                    <w:left w:val="none" w:sz="0" w:space="0" w:color="auto"/>
                    <w:bottom w:val="none" w:sz="0" w:space="0" w:color="auto"/>
                    <w:right w:val="none" w:sz="0" w:space="0" w:color="auto"/>
                  </w:divBdr>
                  <w:divsChild>
                    <w:div w:id="560138071">
                      <w:marLeft w:val="0"/>
                      <w:marRight w:val="0"/>
                      <w:marTop w:val="0"/>
                      <w:marBottom w:val="0"/>
                      <w:divBdr>
                        <w:top w:val="none" w:sz="0" w:space="0" w:color="auto"/>
                        <w:left w:val="none" w:sz="0" w:space="0" w:color="auto"/>
                        <w:bottom w:val="none" w:sz="0" w:space="0" w:color="auto"/>
                        <w:right w:val="none" w:sz="0" w:space="0" w:color="auto"/>
                      </w:divBdr>
                      <w:divsChild>
                        <w:div w:id="320741346">
                          <w:marLeft w:val="0"/>
                          <w:marRight w:val="0"/>
                          <w:marTop w:val="0"/>
                          <w:marBottom w:val="0"/>
                          <w:divBdr>
                            <w:top w:val="none" w:sz="0" w:space="0" w:color="auto"/>
                            <w:left w:val="none" w:sz="0" w:space="0" w:color="auto"/>
                            <w:bottom w:val="none" w:sz="0" w:space="0" w:color="auto"/>
                            <w:right w:val="none" w:sz="0" w:space="0" w:color="auto"/>
                          </w:divBdr>
                          <w:divsChild>
                            <w:div w:id="1621524092">
                              <w:marLeft w:val="0"/>
                              <w:marRight w:val="0"/>
                              <w:marTop w:val="0"/>
                              <w:marBottom w:val="0"/>
                              <w:divBdr>
                                <w:top w:val="none" w:sz="0" w:space="0" w:color="auto"/>
                                <w:left w:val="none" w:sz="0" w:space="0" w:color="auto"/>
                                <w:bottom w:val="none" w:sz="0" w:space="0" w:color="auto"/>
                                <w:right w:val="none" w:sz="0" w:space="0" w:color="auto"/>
                              </w:divBdr>
                              <w:divsChild>
                                <w:div w:id="1339700694">
                                  <w:marLeft w:val="0"/>
                                  <w:marRight w:val="0"/>
                                  <w:marTop w:val="0"/>
                                  <w:marBottom w:val="0"/>
                                  <w:divBdr>
                                    <w:top w:val="none" w:sz="0" w:space="0" w:color="auto"/>
                                    <w:left w:val="none" w:sz="0" w:space="0" w:color="auto"/>
                                    <w:bottom w:val="none" w:sz="0" w:space="0" w:color="auto"/>
                                    <w:right w:val="none" w:sz="0" w:space="0" w:color="auto"/>
                                  </w:divBdr>
                                  <w:divsChild>
                                    <w:div w:id="1265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640286">
      <w:bodyDiv w:val="1"/>
      <w:marLeft w:val="0"/>
      <w:marRight w:val="0"/>
      <w:marTop w:val="0"/>
      <w:marBottom w:val="0"/>
      <w:divBdr>
        <w:top w:val="none" w:sz="0" w:space="0" w:color="auto"/>
        <w:left w:val="none" w:sz="0" w:space="0" w:color="auto"/>
        <w:bottom w:val="none" w:sz="0" w:space="0" w:color="auto"/>
        <w:right w:val="none" w:sz="0" w:space="0" w:color="auto"/>
      </w:divBdr>
      <w:divsChild>
        <w:div w:id="1044254836">
          <w:marLeft w:val="0"/>
          <w:marRight w:val="0"/>
          <w:marTop w:val="0"/>
          <w:marBottom w:val="0"/>
          <w:divBdr>
            <w:top w:val="none" w:sz="0" w:space="0" w:color="auto"/>
            <w:left w:val="none" w:sz="0" w:space="0" w:color="auto"/>
            <w:bottom w:val="none" w:sz="0" w:space="0" w:color="auto"/>
            <w:right w:val="none" w:sz="0" w:space="0" w:color="auto"/>
          </w:divBdr>
          <w:divsChild>
            <w:div w:id="461391098">
              <w:marLeft w:val="0"/>
              <w:marRight w:val="0"/>
              <w:marTop w:val="0"/>
              <w:marBottom w:val="0"/>
              <w:divBdr>
                <w:top w:val="none" w:sz="0" w:space="0" w:color="auto"/>
                <w:left w:val="none" w:sz="0" w:space="0" w:color="auto"/>
                <w:bottom w:val="none" w:sz="0" w:space="0" w:color="auto"/>
                <w:right w:val="none" w:sz="0" w:space="0" w:color="auto"/>
              </w:divBdr>
              <w:divsChild>
                <w:div w:id="1254166787">
                  <w:marLeft w:val="0"/>
                  <w:marRight w:val="0"/>
                  <w:marTop w:val="0"/>
                  <w:marBottom w:val="0"/>
                  <w:divBdr>
                    <w:top w:val="none" w:sz="0" w:space="0" w:color="auto"/>
                    <w:left w:val="none" w:sz="0" w:space="0" w:color="auto"/>
                    <w:bottom w:val="none" w:sz="0" w:space="0" w:color="auto"/>
                    <w:right w:val="none" w:sz="0" w:space="0" w:color="auto"/>
                  </w:divBdr>
                  <w:divsChild>
                    <w:div w:id="819543873">
                      <w:marLeft w:val="0"/>
                      <w:marRight w:val="0"/>
                      <w:marTop w:val="0"/>
                      <w:marBottom w:val="0"/>
                      <w:divBdr>
                        <w:top w:val="none" w:sz="0" w:space="0" w:color="auto"/>
                        <w:left w:val="none" w:sz="0" w:space="0" w:color="auto"/>
                        <w:bottom w:val="none" w:sz="0" w:space="0" w:color="auto"/>
                        <w:right w:val="none" w:sz="0" w:space="0" w:color="auto"/>
                      </w:divBdr>
                      <w:divsChild>
                        <w:div w:id="1642616722">
                          <w:marLeft w:val="0"/>
                          <w:marRight w:val="0"/>
                          <w:marTop w:val="0"/>
                          <w:marBottom w:val="0"/>
                          <w:divBdr>
                            <w:top w:val="none" w:sz="0" w:space="0" w:color="auto"/>
                            <w:left w:val="none" w:sz="0" w:space="0" w:color="auto"/>
                            <w:bottom w:val="none" w:sz="0" w:space="0" w:color="auto"/>
                            <w:right w:val="none" w:sz="0" w:space="0" w:color="auto"/>
                          </w:divBdr>
                          <w:divsChild>
                            <w:div w:id="445658548">
                              <w:marLeft w:val="0"/>
                              <w:marRight w:val="0"/>
                              <w:marTop w:val="0"/>
                              <w:marBottom w:val="0"/>
                              <w:divBdr>
                                <w:top w:val="none" w:sz="0" w:space="0" w:color="auto"/>
                                <w:left w:val="none" w:sz="0" w:space="0" w:color="auto"/>
                                <w:bottom w:val="none" w:sz="0" w:space="0" w:color="auto"/>
                                <w:right w:val="none" w:sz="0" w:space="0" w:color="auto"/>
                              </w:divBdr>
                              <w:divsChild>
                                <w:div w:id="297298628">
                                  <w:marLeft w:val="0"/>
                                  <w:marRight w:val="0"/>
                                  <w:marTop w:val="0"/>
                                  <w:marBottom w:val="0"/>
                                  <w:divBdr>
                                    <w:top w:val="none" w:sz="0" w:space="0" w:color="auto"/>
                                    <w:left w:val="none" w:sz="0" w:space="0" w:color="auto"/>
                                    <w:bottom w:val="none" w:sz="0" w:space="0" w:color="auto"/>
                                    <w:right w:val="none" w:sz="0" w:space="0" w:color="auto"/>
                                  </w:divBdr>
                                  <w:divsChild>
                                    <w:div w:id="1665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932387">
      <w:bodyDiv w:val="1"/>
      <w:marLeft w:val="0"/>
      <w:marRight w:val="0"/>
      <w:marTop w:val="0"/>
      <w:marBottom w:val="0"/>
      <w:divBdr>
        <w:top w:val="none" w:sz="0" w:space="0" w:color="auto"/>
        <w:left w:val="none" w:sz="0" w:space="0" w:color="auto"/>
        <w:bottom w:val="none" w:sz="0" w:space="0" w:color="auto"/>
        <w:right w:val="none" w:sz="0" w:space="0" w:color="auto"/>
      </w:divBdr>
    </w:div>
    <w:div w:id="977566136">
      <w:bodyDiv w:val="1"/>
      <w:marLeft w:val="0"/>
      <w:marRight w:val="0"/>
      <w:marTop w:val="0"/>
      <w:marBottom w:val="0"/>
      <w:divBdr>
        <w:top w:val="none" w:sz="0" w:space="0" w:color="auto"/>
        <w:left w:val="none" w:sz="0" w:space="0" w:color="auto"/>
        <w:bottom w:val="none" w:sz="0" w:space="0" w:color="auto"/>
        <w:right w:val="none" w:sz="0" w:space="0" w:color="auto"/>
      </w:divBdr>
    </w:div>
    <w:div w:id="1165512207">
      <w:bodyDiv w:val="1"/>
      <w:marLeft w:val="0"/>
      <w:marRight w:val="0"/>
      <w:marTop w:val="0"/>
      <w:marBottom w:val="0"/>
      <w:divBdr>
        <w:top w:val="none" w:sz="0" w:space="0" w:color="auto"/>
        <w:left w:val="none" w:sz="0" w:space="0" w:color="auto"/>
        <w:bottom w:val="none" w:sz="0" w:space="0" w:color="auto"/>
        <w:right w:val="none" w:sz="0" w:space="0" w:color="auto"/>
      </w:divBdr>
    </w:div>
    <w:div w:id="1204513915">
      <w:bodyDiv w:val="1"/>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 w:id="1954751582">
          <w:marLeft w:val="0"/>
          <w:marRight w:val="0"/>
          <w:marTop w:val="0"/>
          <w:marBottom w:val="0"/>
          <w:divBdr>
            <w:top w:val="none" w:sz="0" w:space="0" w:color="auto"/>
            <w:left w:val="none" w:sz="0" w:space="0" w:color="auto"/>
            <w:bottom w:val="none" w:sz="0" w:space="0" w:color="auto"/>
            <w:right w:val="none" w:sz="0" w:space="0" w:color="auto"/>
          </w:divBdr>
        </w:div>
        <w:div w:id="330179073">
          <w:marLeft w:val="0"/>
          <w:marRight w:val="0"/>
          <w:marTop w:val="0"/>
          <w:marBottom w:val="0"/>
          <w:divBdr>
            <w:top w:val="none" w:sz="0" w:space="0" w:color="auto"/>
            <w:left w:val="none" w:sz="0" w:space="0" w:color="auto"/>
            <w:bottom w:val="none" w:sz="0" w:space="0" w:color="auto"/>
            <w:right w:val="none" w:sz="0" w:space="0" w:color="auto"/>
          </w:divBdr>
        </w:div>
        <w:div w:id="1762139433">
          <w:marLeft w:val="0"/>
          <w:marRight w:val="0"/>
          <w:marTop w:val="0"/>
          <w:marBottom w:val="0"/>
          <w:divBdr>
            <w:top w:val="none" w:sz="0" w:space="0" w:color="auto"/>
            <w:left w:val="none" w:sz="0" w:space="0" w:color="auto"/>
            <w:bottom w:val="none" w:sz="0" w:space="0" w:color="auto"/>
            <w:right w:val="none" w:sz="0" w:space="0" w:color="auto"/>
          </w:divBdr>
        </w:div>
      </w:divsChild>
    </w:div>
    <w:div w:id="1258716234">
      <w:bodyDiv w:val="1"/>
      <w:marLeft w:val="0"/>
      <w:marRight w:val="0"/>
      <w:marTop w:val="0"/>
      <w:marBottom w:val="0"/>
      <w:divBdr>
        <w:top w:val="none" w:sz="0" w:space="0" w:color="auto"/>
        <w:left w:val="none" w:sz="0" w:space="0" w:color="auto"/>
        <w:bottom w:val="none" w:sz="0" w:space="0" w:color="auto"/>
        <w:right w:val="none" w:sz="0" w:space="0" w:color="auto"/>
      </w:divBdr>
    </w:div>
    <w:div w:id="1298802359">
      <w:bodyDiv w:val="1"/>
      <w:marLeft w:val="0"/>
      <w:marRight w:val="0"/>
      <w:marTop w:val="0"/>
      <w:marBottom w:val="0"/>
      <w:divBdr>
        <w:top w:val="none" w:sz="0" w:space="0" w:color="auto"/>
        <w:left w:val="none" w:sz="0" w:space="0" w:color="auto"/>
        <w:bottom w:val="none" w:sz="0" w:space="0" w:color="auto"/>
        <w:right w:val="none" w:sz="0" w:space="0" w:color="auto"/>
      </w:divBdr>
    </w:div>
    <w:div w:id="1383403116">
      <w:bodyDiv w:val="1"/>
      <w:marLeft w:val="0"/>
      <w:marRight w:val="0"/>
      <w:marTop w:val="0"/>
      <w:marBottom w:val="0"/>
      <w:divBdr>
        <w:top w:val="none" w:sz="0" w:space="0" w:color="auto"/>
        <w:left w:val="none" w:sz="0" w:space="0" w:color="auto"/>
        <w:bottom w:val="none" w:sz="0" w:space="0" w:color="auto"/>
        <w:right w:val="none" w:sz="0" w:space="0" w:color="auto"/>
      </w:divBdr>
    </w:div>
    <w:div w:id="1487239622">
      <w:bodyDiv w:val="1"/>
      <w:marLeft w:val="0"/>
      <w:marRight w:val="0"/>
      <w:marTop w:val="0"/>
      <w:marBottom w:val="0"/>
      <w:divBdr>
        <w:top w:val="none" w:sz="0" w:space="0" w:color="auto"/>
        <w:left w:val="none" w:sz="0" w:space="0" w:color="auto"/>
        <w:bottom w:val="none" w:sz="0" w:space="0" w:color="auto"/>
        <w:right w:val="none" w:sz="0" w:space="0" w:color="auto"/>
      </w:divBdr>
    </w:div>
    <w:div w:id="1557157816">
      <w:bodyDiv w:val="1"/>
      <w:marLeft w:val="0"/>
      <w:marRight w:val="0"/>
      <w:marTop w:val="0"/>
      <w:marBottom w:val="0"/>
      <w:divBdr>
        <w:top w:val="none" w:sz="0" w:space="0" w:color="auto"/>
        <w:left w:val="none" w:sz="0" w:space="0" w:color="auto"/>
        <w:bottom w:val="none" w:sz="0" w:space="0" w:color="auto"/>
        <w:right w:val="none" w:sz="0" w:space="0" w:color="auto"/>
      </w:divBdr>
      <w:divsChild>
        <w:div w:id="1235240364">
          <w:marLeft w:val="0"/>
          <w:marRight w:val="0"/>
          <w:marTop w:val="0"/>
          <w:marBottom w:val="0"/>
          <w:divBdr>
            <w:top w:val="none" w:sz="0" w:space="0" w:color="auto"/>
            <w:left w:val="none" w:sz="0" w:space="0" w:color="auto"/>
            <w:bottom w:val="none" w:sz="0" w:space="0" w:color="auto"/>
            <w:right w:val="none" w:sz="0" w:space="0" w:color="auto"/>
          </w:divBdr>
        </w:div>
        <w:div w:id="1508515949">
          <w:marLeft w:val="0"/>
          <w:marRight w:val="0"/>
          <w:marTop w:val="0"/>
          <w:marBottom w:val="0"/>
          <w:divBdr>
            <w:top w:val="none" w:sz="0" w:space="0" w:color="auto"/>
            <w:left w:val="none" w:sz="0" w:space="0" w:color="auto"/>
            <w:bottom w:val="none" w:sz="0" w:space="0" w:color="auto"/>
            <w:right w:val="none" w:sz="0" w:space="0" w:color="auto"/>
          </w:divBdr>
        </w:div>
        <w:div w:id="922371141">
          <w:marLeft w:val="0"/>
          <w:marRight w:val="0"/>
          <w:marTop w:val="0"/>
          <w:marBottom w:val="0"/>
          <w:divBdr>
            <w:top w:val="none" w:sz="0" w:space="0" w:color="auto"/>
            <w:left w:val="none" w:sz="0" w:space="0" w:color="auto"/>
            <w:bottom w:val="none" w:sz="0" w:space="0" w:color="auto"/>
            <w:right w:val="none" w:sz="0" w:space="0" w:color="auto"/>
          </w:divBdr>
        </w:div>
        <w:div w:id="1856921067">
          <w:marLeft w:val="0"/>
          <w:marRight w:val="0"/>
          <w:marTop w:val="0"/>
          <w:marBottom w:val="0"/>
          <w:divBdr>
            <w:top w:val="none" w:sz="0" w:space="0" w:color="auto"/>
            <w:left w:val="none" w:sz="0" w:space="0" w:color="auto"/>
            <w:bottom w:val="none" w:sz="0" w:space="0" w:color="auto"/>
            <w:right w:val="none" w:sz="0" w:space="0" w:color="auto"/>
          </w:divBdr>
        </w:div>
      </w:divsChild>
    </w:div>
    <w:div w:id="1656450551">
      <w:bodyDiv w:val="1"/>
      <w:marLeft w:val="0"/>
      <w:marRight w:val="0"/>
      <w:marTop w:val="0"/>
      <w:marBottom w:val="0"/>
      <w:divBdr>
        <w:top w:val="none" w:sz="0" w:space="0" w:color="auto"/>
        <w:left w:val="none" w:sz="0" w:space="0" w:color="auto"/>
        <w:bottom w:val="none" w:sz="0" w:space="0" w:color="auto"/>
        <w:right w:val="none" w:sz="0" w:space="0" w:color="auto"/>
      </w:divBdr>
    </w:div>
    <w:div w:id="1954743765">
      <w:bodyDiv w:val="1"/>
      <w:marLeft w:val="0"/>
      <w:marRight w:val="0"/>
      <w:marTop w:val="0"/>
      <w:marBottom w:val="0"/>
      <w:divBdr>
        <w:top w:val="none" w:sz="0" w:space="0" w:color="auto"/>
        <w:left w:val="none" w:sz="0" w:space="0" w:color="auto"/>
        <w:bottom w:val="none" w:sz="0" w:space="0" w:color="auto"/>
        <w:right w:val="none" w:sz="0" w:space="0" w:color="auto"/>
      </w:divBdr>
    </w:div>
    <w:div w:id="2104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1F2AC33-1C75-4974-B760-0F44DFA1138B}"/>
      </w:docPartPr>
      <w:docPartBody>
        <w:p w:rsidR="006D40EA" w:rsidRDefault="00B0703B">
          <w:r w:rsidRPr="00AC7828">
            <w:rPr>
              <w:rStyle w:val="PlaceholderText"/>
            </w:rPr>
            <w:t>Click or tap here to enter text.</w:t>
          </w:r>
        </w:p>
      </w:docPartBody>
    </w:docPart>
    <w:docPart>
      <w:docPartPr>
        <w:name w:val="A714187BBCD1455F9C11259977F29A9D"/>
        <w:category>
          <w:name w:val="General"/>
          <w:gallery w:val="placeholder"/>
        </w:category>
        <w:types>
          <w:type w:val="bbPlcHdr"/>
        </w:types>
        <w:behaviors>
          <w:behavior w:val="content"/>
        </w:behaviors>
        <w:guid w:val="{958EB257-D2C3-453A-9A5A-43B3D74A646F}"/>
      </w:docPartPr>
      <w:docPartBody>
        <w:p w:rsidR="006D40EA" w:rsidRDefault="00B0703B" w:rsidP="00B0703B">
          <w:pPr>
            <w:pStyle w:val="A714187BBCD1455F9C11259977F29A9D"/>
          </w:pPr>
          <w:r w:rsidRPr="00AC78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3B"/>
    <w:rsid w:val="001D0B2F"/>
    <w:rsid w:val="001F56A6"/>
    <w:rsid w:val="006D40EA"/>
    <w:rsid w:val="007B1E74"/>
    <w:rsid w:val="00B0703B"/>
    <w:rsid w:val="00D26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03B"/>
    <w:rPr>
      <w:color w:val="666666"/>
    </w:rPr>
  </w:style>
  <w:style w:type="paragraph" w:customStyle="1" w:styleId="A714187BBCD1455F9C11259977F29A9D">
    <w:name w:val="A714187BBCD1455F9C11259977F29A9D"/>
    <w:rsid w:val="00B07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A2C28F-CEFA-4625-959C-F49389E2C54C}">
  <we:reference id="wa104382081" version="1.55.1.0" store="en-US" storeType="OMEX"/>
  <we:alternateReferences>
    <we:reference id="wa104382081" version="1.55.1.0" store="en-US" storeType="OMEX"/>
  </we:alternateReferences>
  <we:properties>
    <we:property name="MENDELEY_CITATIONS" value="[{&quot;citationID&quot;:&quot;MENDELEY_CITATION_36d2f738-269e-4152-8b15-501e4441563a&quot;,&quot;properties&quot;:{&quot;noteIndex&quot;:0},&quot;isEdited&quot;:false,&quot;manualOverride&quot;:{&quot;isManuallyOverridden&quot;:false,&quot;citeprocText&quot;:&quot;(Ioannidis, 2005)&quot;,&quot;manualOverrideText&quot;:&quot;&quot;},&quot;citationTag&quot;:&quot;MENDELEY_CITATION_v3_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&quot;,&quot;citationItems&quot;:[{&quot;id&quot;:&quot;0da7e366-5ce0-389d-a845-c4a6c009387c&quot;,&quot;itemData&quot;:{&quot;type&quot;:&quot;article-journal&quot;,&quot;id&quot;:&quot;0da7e366-5ce0-389d-a845-c4a6c009387c&quot;,&quot;title&quot;:&quot;Why Most Published Research Findings Are False&quot;,&quot;author&quot;:[{&quot;family&quot;:&quot;Ioannidis&quot;,&quot;given&quot;:&quot;John P.A.&quot;,&quot;parse-names&quot;:false,&quot;dropping-particle&quot;:&quot;&quot;,&quot;non-dropping-particle&quot;:&quot;&quot;}],&quot;container-title&quot;:&quot;PLOS Medicine&quot;,&quot;container-title-short&quot;:&quot;PLoS Med&quot;,&quot;accessed&quot;:{&quot;date-parts&quot;:[[2025,6,13]]},&quot;DOI&quot;:&quot;10.1371/JOURNAL.PMED.0020124&quot;,&quot;ISBN&quot;:&quot;9783319513584&quot;,&quot;ISSN&quot;:&quot;1549-1676&quot;,&quot;PMID&quot;:&quot;16060722&quot;,&quot;URL&quot;:&quot;https://journals.plos.org/plosmedicine/article?id=10.1371/journal.pmed.0020124&quot;,&quot;issued&quot;:{&quot;date-parts&quot;:[[2005,7,23]]},&quot;page&quot;:&quot;e124&quot;,&quot;abstract&quot;:&quot;Summary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quot;,&quot;publisher&quot;:&quot;Public Library of Science&quot;,&quot;issue&quot;:&quot;8&quot;,&quot;volume&quot;:&quot;2&quot;},&quot;isTemporary&quot;:false}]},{&quot;citationID&quot;:&quot;MENDELEY_CITATION_3b964af5-e7cd-4155-be4a-493746b084a5&quot;,&quot;properties&quot;:{&quot;noteIndex&quot;:0},&quot;isEdited&quot;:false,&quot;manualOverride&quot;:{&quot;isManuallyOverridden&quot;:true,&quot;citeprocText&quot;:&quot;(&lt;i&gt;Ethical Guidelines for Statistical Practice&lt;/i&gt;, no date)&quot;,&quot;manualOverrideText&quot;:&quot;Ethical Guidelines for Statistical Practice (2018)&quot;},&quot;citationTag&quot;:&quot;MENDELEY_CITATION_v3_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&quot;,&quot;citationItems&quot;:[{&quot;id&quot;:&quot;00c32dae-16f1-3f5b-8e19-c8f8ddb706a0&quot;,&quot;itemData&quot;:{&quot;type&quot;:&quot;webpage&quot;,&quot;id&quot;:&quot;00c32dae-16f1-3f5b-8e19-c8f8ddb706a0&quot;,&quot;title&quot;:&quot;Ethical Guidelines for Statistical Practice&quot;,&quot;accessed&quot;:{&quot;date-parts&quot;:[[2025,6,13]]},&quot;URL&quot;:&quot;https://www.amstat.org/your-career/ethical-guidelines-for-statistical-practice&quot;,&quot;container-title-short&quot;:&quot;&quot;},&quot;isTemporary&quot;:false}]},{&quot;citationID&quot;:&quot;MENDELEY_CITATION_f7a3c799-a77c-4e71-b45c-1ab075db4dac&quot;,&quot;properties&quot;:{&quot;noteIndex&quot;:0},&quot;isEdited&quot;:false,&quot;manualOverride&quot;:{&quot;isManuallyOverridden&quot;:true,&quot;citeprocText&quot;:&quot;(&lt;i&gt;Food Safety Act 1990&lt;/i&gt;, no date)&quot;,&quot;manualOverrideText&quot;:&quot;Food Safety Act 1990 (no date)&quot;},&quot;citationTag&quot;:&quot;MENDELEY_CITATION_v3_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&quot;,&quot;citationItems&quot;:[{&quot;id&quot;:&quot;871698fc-d821-3c66-9e79-a9b0d7c4be3b&quot;,&quot;itemData&quot;:{&quot;type&quot;:&quot;webpage&quot;,&quot;id&quot;:&quot;871698fc-d821-3c66-9e79-a9b0d7c4be3b&quot;,&quot;title&quot;:&quot;Food Safety Act 1990&quot;,&quot;accessed&quot;:{&quot;date-parts&quot;:[[2025,6,13]]},&quot;URL&quot;:&quot;https://www.legislation.gov.uk/ukpga/1990/16/contents&quot;,&quot;container-title-short&quot;:&quot;&quot;},&quot;isTemporary&quot;:false}]},{&quot;citationID&quot;:&quot;MENDELEY_CITATION_13624e59-1bf0-4e0c-b03d-e5ba37e4c765&quot;,&quot;properties&quot;:{&quot;noteIndex&quot;:0},&quot;isEdited&quot;:false,&quot;manualOverride&quot;:{&quot;isManuallyOverridden&quot;:true,&quot;citeprocText&quot;:&quot;(&lt;i&gt;Nutrition, Food Labeling, and Critical Foods | FDA&lt;/i&gt;, no date)&quot;,&quot;manualOverrideText&quot;:&quot;Nutrition, Food Labeling, and Critical Foods | FDA (no date)&quot;},&quot;citationTag&quot;:&quot;MENDELEY_CITATION_v3_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&quot;,&quot;citationItems&quot;:[{&quot;id&quot;:&quot;97b498cf-2df2-3ce9-88f9-7fc2e0b85bc7&quot;,&quot;itemData&quot;:{&quot;type&quot;:&quot;webpage&quot;,&quot;id&quot;:&quot;97b498cf-2df2-3ce9-88f9-7fc2e0b85bc7&quot;,&quot;title&quot;:&quot;Nutrition, Food Labeling, and Critical Foods | FDA&quot;,&quot;accessed&quot;:{&quot;date-parts&quot;:[[2025,6,13]]},&quot;URL&quot;:&quot;https://www.fda.gov/food/nutrition-food-labeling-and-critical-foods&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1B91-92C7-419A-B257-95844B42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onyeemeosi</dc:creator>
  <cp:keywords/>
  <dc:description/>
  <cp:lastModifiedBy>kingsley onyeemeosi</cp:lastModifiedBy>
  <cp:revision>4</cp:revision>
  <dcterms:created xsi:type="dcterms:W3CDTF">2025-06-13T16:17:00Z</dcterms:created>
  <dcterms:modified xsi:type="dcterms:W3CDTF">2025-06-13T17:20:00Z</dcterms:modified>
</cp:coreProperties>
</file>