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83ADE" w14:textId="77777777" w:rsidR="000F3AEC" w:rsidRPr="000F3AEC" w:rsidRDefault="000F3AEC" w:rsidP="000F3AEC">
      <w:pPr>
        <w:rPr>
          <w:lang w:val="en-GB"/>
        </w:rPr>
      </w:pPr>
      <w:r w:rsidRPr="000F3AEC">
        <w:rPr>
          <w:lang w:val="en-GB"/>
        </w:rPr>
        <w:fldChar w:fldCharType="begin"/>
      </w:r>
      <w:r w:rsidRPr="000F3AEC">
        <w:rPr>
          <w:lang w:val="en-GB"/>
        </w:rPr>
        <w:instrText>HYPERLINK "https://www.acm.org/code-of-ethics/case-studies/accessibility-in-software-development" \t "_blank"</w:instrText>
      </w:r>
      <w:r w:rsidRPr="000F3AEC">
        <w:rPr>
          <w:lang w:val="en-GB"/>
        </w:rPr>
      </w:r>
      <w:r w:rsidRPr="000F3AEC">
        <w:rPr>
          <w:lang w:val="en-GB"/>
        </w:rPr>
        <w:fldChar w:fldCharType="separate"/>
      </w:r>
      <w:r w:rsidRPr="000F3AEC">
        <w:rPr>
          <w:rStyle w:val="Hyperlink"/>
          <w:u w:val="none"/>
          <w:lang w:val="en-GB"/>
        </w:rPr>
        <w:t>Accessibility in Software Development</w:t>
      </w:r>
      <w:r w:rsidRPr="000F3AEC">
        <w:fldChar w:fldCharType="end"/>
      </w:r>
    </w:p>
    <w:p w14:paraId="543B87E7" w14:textId="69E3FC0A" w:rsidR="000F3AEC" w:rsidRDefault="000F3AEC" w:rsidP="000F3AEC">
      <w:r>
        <w:t>In the ACM case study Accessibility in Software Development</w:t>
      </w:r>
      <w:r w:rsidR="00B03B69">
        <w:t xml:space="preserve"> according to </w:t>
      </w:r>
      <w:sdt>
        <w:sdtPr>
          <w:rPr>
            <w:color w:val="000000"/>
          </w:rPr>
          <w:tag w:val="MENDELEY_CITATION_v3_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"/>
          <w:id w:val="-2141333057"/>
          <w:placeholder>
            <w:docPart w:val="DefaultPlaceholder_-1854013440"/>
          </w:placeholder>
        </w:sdtPr>
        <w:sdtContent>
          <w:r w:rsidR="00CD4B16" w:rsidRPr="00CD4B16">
            <w:rPr>
              <w:color w:val="000000"/>
            </w:rPr>
            <w:t>Horton et al., (2025)</w:t>
          </w:r>
        </w:sdtContent>
      </w:sdt>
      <w:r>
        <w:t xml:space="preserve"> the software company AllTogether released a collaboration tool that lacked accessibility compliance due to project time constraints. This decision violated several principles in the ACM Code of Ethics, including the duty to contribute to society and human well-being (1.1), avoid harm (1.2), act fairly without discrimination (1.4), and uphold professional competence by respecting established rules (2.3). These oversights excluded users with disabilities, undermining inclusive design principles essential to ethical software development. </w:t>
      </w:r>
      <w:r>
        <w:br/>
      </w:r>
      <w:r>
        <w:br/>
        <w:t>From a legal perspective, neglecting accessibility measures exposes developers and companies to significant risk. In the United States, such non-compliance may breach the Americans with Disabilities Act (ADA) and Section 508 of the Rehabilitation Act, potentially resulting in litigation, fines, or loss of contracts</w:t>
      </w:r>
      <w:r w:rsidR="00B03B69">
        <w:t xml:space="preserve"> </w:t>
      </w:r>
      <w:sdt>
        <w:sdtPr>
          <w:rPr>
            <w:color w:val="000000"/>
          </w:rPr>
          <w:tag w:val="MENDELEY_CITATION_v3_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"/>
          <w:id w:val="-1289119392"/>
          <w:placeholder>
            <w:docPart w:val="DefaultPlaceholder_-1854013440"/>
          </w:placeholder>
        </w:sdtPr>
        <w:sdtContent>
          <w:r w:rsidR="00CD4B16" w:rsidRPr="00CD4B16">
            <w:rPr>
              <w:rFonts w:eastAsia="Times New Roman"/>
              <w:color w:val="000000"/>
            </w:rPr>
            <w:t>(</w:t>
          </w:r>
          <w:r w:rsidR="00CD4B16" w:rsidRPr="00CD4B16">
            <w:rPr>
              <w:rFonts w:eastAsia="Times New Roman"/>
              <w:i/>
              <w:iCs/>
              <w:color w:val="000000"/>
            </w:rPr>
            <w:t>The Americans with Disabilities Act | ADA.gov</w:t>
          </w:r>
          <w:r w:rsidR="00CD4B16" w:rsidRPr="00CD4B16">
            <w:rPr>
              <w:rFonts w:eastAsia="Times New Roman"/>
              <w:color w:val="000000"/>
            </w:rPr>
            <w:t>, no date)</w:t>
          </w:r>
        </w:sdtContent>
      </w:sdt>
      <w:r>
        <w:t xml:space="preserve">  Likewise, the European Accessibility Act sets binding standards for digital accessibility across EU member states</w:t>
      </w:r>
      <w:r w:rsidR="000569A1">
        <w:t xml:space="preserve">. </w:t>
      </w:r>
      <w:r>
        <w:t>These frameworks reinforce the idea that accessibility is a legal right, not an optional feature.</w:t>
      </w:r>
      <w:r>
        <w:br/>
      </w:r>
      <w:r>
        <w:br/>
        <w:t>Socially, the exclusion of users with disabilities contributes to digital inequality and marginalization. It raises ethical concerns about the responsibilities of computing professionals to serve all users equitably. The team’s actions in this case reflected a lapse in integrity and professionalism, contrary to the expectations outlined in the ACM Code.</w:t>
      </w:r>
      <w:r>
        <w:br/>
      </w:r>
      <w:r>
        <w:br/>
        <w:t>The British Computer Society (BCS) Code of Conduct supports similar values. It calls on members to act in public interest (1a), promote inclusive access to IT (1c), and comply with legislation and good practice (2b)</w:t>
      </w:r>
      <w:r w:rsidR="00B03B69">
        <w:t xml:space="preserve"> </w:t>
      </w:r>
      <w:sdt>
        <w:sdtPr>
          <w:rPr>
            <w:color w:val="000000"/>
          </w:rPr>
          <w:tag w:val="MENDELEY_CITATION_v3_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"/>
          <w:id w:val="1942422143"/>
          <w:placeholder>
            <w:docPart w:val="DefaultPlaceholder_-1854013440"/>
          </w:placeholder>
        </w:sdtPr>
        <w:sdtContent>
          <w:r w:rsidR="00CD4B16" w:rsidRPr="00CD4B16">
            <w:rPr>
              <w:rFonts w:eastAsia="Times New Roman"/>
              <w:color w:val="000000"/>
            </w:rPr>
            <w:t>(</w:t>
          </w:r>
          <w:r w:rsidR="00CD4B16" w:rsidRPr="00CD4B16">
            <w:rPr>
              <w:rFonts w:eastAsia="Times New Roman"/>
              <w:i/>
              <w:iCs/>
              <w:color w:val="000000"/>
            </w:rPr>
            <w:t>BCS Code of Conduct for members - Ethics for IT professionals | BCS</w:t>
          </w:r>
          <w:r w:rsidR="00CD4B16" w:rsidRPr="00CD4B16">
            <w:rPr>
              <w:rFonts w:eastAsia="Times New Roman"/>
              <w:color w:val="000000"/>
            </w:rPr>
            <w:t>, no date)</w:t>
          </w:r>
        </w:sdtContent>
      </w:sdt>
      <w:r>
        <w:t xml:space="preserve"> Both codes emphasize that accessibility is not just a technical or legal issue, but a central element of ethical and professional responsibility.</w:t>
      </w:r>
    </w:p>
    <w:p w14:paraId="523649BD" w14:textId="3422DAD6" w:rsidR="000F3AEC" w:rsidRDefault="000F3AEC" w:rsidP="000F3AEC">
      <w:r>
        <w:t>Reference List</w:t>
      </w:r>
    </w:p>
    <w:sdt>
      <w:sdtPr>
        <w:rPr>
          <w:color w:val="000000"/>
        </w:rPr>
        <w:tag w:val="MENDELEY_BIBLIOGRAPHY"/>
        <w:id w:val="847988795"/>
        <w:placeholder>
          <w:docPart w:val="DefaultPlaceholder_-1854013440"/>
        </w:placeholder>
      </w:sdtPr>
      <w:sdtContent>
        <w:p w14:paraId="268194A9" w14:textId="77777777" w:rsidR="00CD4B16" w:rsidRDefault="00CD4B16">
          <w:pPr>
            <w:divId w:val="506942928"/>
            <w:rPr>
              <w:rFonts w:eastAsia="Times New Roman"/>
              <w:szCs w:val="24"/>
            </w:rPr>
          </w:pPr>
          <w:r>
            <w:rPr>
              <w:rFonts w:eastAsia="Times New Roman"/>
              <w:i/>
              <w:iCs/>
            </w:rPr>
            <w:t>BCS Code of Conduct for members - Ethics for IT professionals | BCS</w:t>
          </w:r>
          <w:r>
            <w:rPr>
              <w:rFonts w:eastAsia="Times New Roman"/>
            </w:rPr>
            <w:t xml:space="preserve"> (no date). Available at: https://www.bcs.org/membership-and-registrations/become-a-member/bcs-code-of-conduct (Accessed: 24 May 2025).</w:t>
          </w:r>
        </w:p>
        <w:p w14:paraId="5430D283" w14:textId="77777777" w:rsidR="00CD4B16" w:rsidRDefault="00CD4B16">
          <w:pPr>
            <w:divId w:val="826826298"/>
            <w:rPr>
              <w:rFonts w:eastAsia="Times New Roman"/>
            </w:rPr>
          </w:pPr>
          <w:r>
            <w:rPr>
              <w:rFonts w:eastAsia="Times New Roman"/>
            </w:rPr>
            <w:t xml:space="preserve">Horton, S. </w:t>
          </w:r>
          <w:r>
            <w:rPr>
              <w:rFonts w:eastAsia="Times New Roman"/>
              <w:i/>
              <w:iCs/>
            </w:rPr>
            <w:t>et al.</w:t>
          </w:r>
          <w:r>
            <w:rPr>
              <w:rFonts w:eastAsia="Times New Roman"/>
            </w:rPr>
            <w:t xml:space="preserve"> (</w:t>
          </w:r>
          <w:proofErr w:type="gramStart"/>
          <w:r>
            <w:rPr>
              <w:rFonts w:eastAsia="Times New Roman"/>
            </w:rPr>
            <w:t>2025) ‘</w:t>
          </w:r>
          <w:proofErr w:type="gramEnd"/>
          <w:r>
            <w:rPr>
              <w:rFonts w:eastAsia="Times New Roman"/>
            </w:rPr>
            <w:t>ACM TechBrief: Advancing Accessibility in the Digital World’. Available at: https://doi.org/10.1145/3731725.</w:t>
          </w:r>
        </w:p>
        <w:p w14:paraId="7008D17D" w14:textId="77777777" w:rsidR="00CD4B16" w:rsidRDefault="00CD4B16">
          <w:pPr>
            <w:divId w:val="374086739"/>
            <w:rPr>
              <w:rFonts w:eastAsia="Times New Roman"/>
            </w:rPr>
          </w:pPr>
          <w:r>
            <w:rPr>
              <w:rFonts w:eastAsia="Times New Roman"/>
              <w:i/>
              <w:iCs/>
            </w:rPr>
            <w:t>The Americans with Disabilities Act | ADA.gov</w:t>
          </w:r>
          <w:r>
            <w:rPr>
              <w:rFonts w:eastAsia="Times New Roman"/>
            </w:rPr>
            <w:t xml:space="preserve"> (no date). Available at: https://www.ada.gov/ (Accessed: 24 May 2025).</w:t>
          </w:r>
        </w:p>
        <w:p w14:paraId="320CBC44" w14:textId="1D59A9D0" w:rsidR="00864B69" w:rsidRDefault="00CD4B16">
          <w:r>
            <w:rPr>
              <w:rFonts w:eastAsia="Times New Roman"/>
            </w:rPr>
            <w:t> </w:t>
          </w:r>
        </w:p>
      </w:sdtContent>
    </w:sdt>
    <w:sectPr w:rsidR="00864B69" w:rsidSect="000F3A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EC"/>
    <w:rsid w:val="000569A1"/>
    <w:rsid w:val="000F3AEC"/>
    <w:rsid w:val="00101742"/>
    <w:rsid w:val="00232A2C"/>
    <w:rsid w:val="002B069F"/>
    <w:rsid w:val="006F26DD"/>
    <w:rsid w:val="007E722C"/>
    <w:rsid w:val="00864B69"/>
    <w:rsid w:val="00903B82"/>
    <w:rsid w:val="009C45D5"/>
    <w:rsid w:val="00A71EC0"/>
    <w:rsid w:val="00B03B69"/>
    <w:rsid w:val="00CD4B16"/>
    <w:rsid w:val="00D45C90"/>
    <w:rsid w:val="00F96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06C4"/>
  <w15:chartTrackingRefBased/>
  <w15:docId w15:val="{317AC19E-CCCA-4F88-9852-14958F6A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EC"/>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0F3A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3A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3A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3A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3A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3A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3A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3A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3A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AEC"/>
    <w:rPr>
      <w:rFonts w:eastAsiaTheme="majorEastAsia" w:cstheme="majorBidi"/>
      <w:color w:val="272727" w:themeColor="text1" w:themeTint="D8"/>
    </w:rPr>
  </w:style>
  <w:style w:type="paragraph" w:styleId="Title">
    <w:name w:val="Title"/>
    <w:basedOn w:val="Normal"/>
    <w:next w:val="Normal"/>
    <w:link w:val="TitleChar"/>
    <w:uiPriority w:val="10"/>
    <w:qFormat/>
    <w:rsid w:val="000F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AEC"/>
    <w:pPr>
      <w:spacing w:before="160"/>
      <w:jc w:val="center"/>
    </w:pPr>
    <w:rPr>
      <w:i/>
      <w:iCs/>
      <w:color w:val="404040" w:themeColor="text1" w:themeTint="BF"/>
    </w:rPr>
  </w:style>
  <w:style w:type="character" w:customStyle="1" w:styleId="QuoteChar">
    <w:name w:val="Quote Char"/>
    <w:basedOn w:val="DefaultParagraphFont"/>
    <w:link w:val="Quote"/>
    <w:uiPriority w:val="29"/>
    <w:rsid w:val="000F3AEC"/>
    <w:rPr>
      <w:i/>
      <w:iCs/>
      <w:color w:val="404040" w:themeColor="text1" w:themeTint="BF"/>
    </w:rPr>
  </w:style>
  <w:style w:type="paragraph" w:styleId="ListParagraph">
    <w:name w:val="List Paragraph"/>
    <w:basedOn w:val="Normal"/>
    <w:uiPriority w:val="34"/>
    <w:qFormat/>
    <w:rsid w:val="000F3AEC"/>
    <w:pPr>
      <w:ind w:left="720"/>
      <w:contextualSpacing/>
    </w:pPr>
  </w:style>
  <w:style w:type="character" w:styleId="IntenseEmphasis">
    <w:name w:val="Intense Emphasis"/>
    <w:basedOn w:val="DefaultParagraphFont"/>
    <w:uiPriority w:val="21"/>
    <w:qFormat/>
    <w:rsid w:val="000F3AEC"/>
    <w:rPr>
      <w:i/>
      <w:iCs/>
      <w:color w:val="2F5496" w:themeColor="accent1" w:themeShade="BF"/>
    </w:rPr>
  </w:style>
  <w:style w:type="paragraph" w:styleId="IntenseQuote">
    <w:name w:val="Intense Quote"/>
    <w:basedOn w:val="Normal"/>
    <w:next w:val="Normal"/>
    <w:link w:val="IntenseQuoteChar"/>
    <w:uiPriority w:val="30"/>
    <w:qFormat/>
    <w:rsid w:val="000F3A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3AEC"/>
    <w:rPr>
      <w:i/>
      <w:iCs/>
      <w:color w:val="2F5496" w:themeColor="accent1" w:themeShade="BF"/>
    </w:rPr>
  </w:style>
  <w:style w:type="character" w:styleId="IntenseReference">
    <w:name w:val="Intense Reference"/>
    <w:basedOn w:val="DefaultParagraphFont"/>
    <w:uiPriority w:val="32"/>
    <w:qFormat/>
    <w:rsid w:val="000F3AEC"/>
    <w:rPr>
      <w:b/>
      <w:bCs/>
      <w:smallCaps/>
      <w:color w:val="2F5496" w:themeColor="accent1" w:themeShade="BF"/>
      <w:spacing w:val="5"/>
    </w:rPr>
  </w:style>
  <w:style w:type="character" w:styleId="Hyperlink">
    <w:name w:val="Hyperlink"/>
    <w:basedOn w:val="DefaultParagraphFont"/>
    <w:uiPriority w:val="99"/>
    <w:unhideWhenUsed/>
    <w:rsid w:val="000F3AEC"/>
    <w:rPr>
      <w:color w:val="0563C1" w:themeColor="hyperlink"/>
      <w:u w:val="single"/>
    </w:rPr>
  </w:style>
  <w:style w:type="character" w:styleId="UnresolvedMention">
    <w:name w:val="Unresolved Mention"/>
    <w:basedOn w:val="DefaultParagraphFont"/>
    <w:uiPriority w:val="99"/>
    <w:semiHidden/>
    <w:unhideWhenUsed/>
    <w:rsid w:val="000F3AEC"/>
    <w:rPr>
      <w:color w:val="605E5C"/>
      <w:shd w:val="clear" w:color="auto" w:fill="E1DFDD"/>
    </w:rPr>
  </w:style>
  <w:style w:type="paragraph" w:styleId="Revision">
    <w:name w:val="Revision"/>
    <w:hidden/>
    <w:uiPriority w:val="99"/>
    <w:semiHidden/>
    <w:rsid w:val="00D45C90"/>
    <w:pPr>
      <w:spacing w:after="0" w:line="240" w:lineRule="auto"/>
    </w:pPr>
    <w:rPr>
      <w:rFonts w:ascii="Times New Roman" w:eastAsiaTheme="minorEastAsia" w:hAnsi="Times New Roman"/>
      <w:kern w:val="0"/>
      <w:sz w:val="24"/>
      <w:lang w:val="en-US"/>
      <w14:ligatures w14:val="none"/>
    </w:rPr>
  </w:style>
  <w:style w:type="character" w:styleId="PlaceholderText">
    <w:name w:val="Placeholder Text"/>
    <w:basedOn w:val="DefaultParagraphFont"/>
    <w:uiPriority w:val="99"/>
    <w:semiHidden/>
    <w:rsid w:val="001017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3312">
      <w:bodyDiv w:val="1"/>
      <w:marLeft w:val="0"/>
      <w:marRight w:val="0"/>
      <w:marTop w:val="0"/>
      <w:marBottom w:val="0"/>
      <w:divBdr>
        <w:top w:val="none" w:sz="0" w:space="0" w:color="auto"/>
        <w:left w:val="none" w:sz="0" w:space="0" w:color="auto"/>
        <w:bottom w:val="none" w:sz="0" w:space="0" w:color="auto"/>
        <w:right w:val="none" w:sz="0" w:space="0" w:color="auto"/>
      </w:divBdr>
    </w:div>
    <w:div w:id="261379726">
      <w:bodyDiv w:val="1"/>
      <w:marLeft w:val="0"/>
      <w:marRight w:val="0"/>
      <w:marTop w:val="0"/>
      <w:marBottom w:val="0"/>
      <w:divBdr>
        <w:top w:val="none" w:sz="0" w:space="0" w:color="auto"/>
        <w:left w:val="none" w:sz="0" w:space="0" w:color="auto"/>
        <w:bottom w:val="none" w:sz="0" w:space="0" w:color="auto"/>
        <w:right w:val="none" w:sz="0" w:space="0" w:color="auto"/>
      </w:divBdr>
    </w:div>
    <w:div w:id="275914278">
      <w:bodyDiv w:val="1"/>
      <w:marLeft w:val="0"/>
      <w:marRight w:val="0"/>
      <w:marTop w:val="0"/>
      <w:marBottom w:val="0"/>
      <w:divBdr>
        <w:top w:val="none" w:sz="0" w:space="0" w:color="auto"/>
        <w:left w:val="none" w:sz="0" w:space="0" w:color="auto"/>
        <w:bottom w:val="none" w:sz="0" w:space="0" w:color="auto"/>
        <w:right w:val="none" w:sz="0" w:space="0" w:color="auto"/>
      </w:divBdr>
    </w:div>
    <w:div w:id="318963918">
      <w:bodyDiv w:val="1"/>
      <w:marLeft w:val="0"/>
      <w:marRight w:val="0"/>
      <w:marTop w:val="0"/>
      <w:marBottom w:val="0"/>
      <w:divBdr>
        <w:top w:val="none" w:sz="0" w:space="0" w:color="auto"/>
        <w:left w:val="none" w:sz="0" w:space="0" w:color="auto"/>
        <w:bottom w:val="none" w:sz="0" w:space="0" w:color="auto"/>
        <w:right w:val="none" w:sz="0" w:space="0" w:color="auto"/>
      </w:divBdr>
    </w:div>
    <w:div w:id="471218038">
      <w:bodyDiv w:val="1"/>
      <w:marLeft w:val="0"/>
      <w:marRight w:val="0"/>
      <w:marTop w:val="0"/>
      <w:marBottom w:val="0"/>
      <w:divBdr>
        <w:top w:val="none" w:sz="0" w:space="0" w:color="auto"/>
        <w:left w:val="none" w:sz="0" w:space="0" w:color="auto"/>
        <w:bottom w:val="none" w:sz="0" w:space="0" w:color="auto"/>
        <w:right w:val="none" w:sz="0" w:space="0" w:color="auto"/>
      </w:divBdr>
    </w:div>
    <w:div w:id="569659568">
      <w:bodyDiv w:val="1"/>
      <w:marLeft w:val="0"/>
      <w:marRight w:val="0"/>
      <w:marTop w:val="0"/>
      <w:marBottom w:val="0"/>
      <w:divBdr>
        <w:top w:val="none" w:sz="0" w:space="0" w:color="auto"/>
        <w:left w:val="none" w:sz="0" w:space="0" w:color="auto"/>
        <w:bottom w:val="none" w:sz="0" w:space="0" w:color="auto"/>
        <w:right w:val="none" w:sz="0" w:space="0" w:color="auto"/>
      </w:divBdr>
    </w:div>
    <w:div w:id="918102187">
      <w:bodyDiv w:val="1"/>
      <w:marLeft w:val="0"/>
      <w:marRight w:val="0"/>
      <w:marTop w:val="0"/>
      <w:marBottom w:val="0"/>
      <w:divBdr>
        <w:top w:val="none" w:sz="0" w:space="0" w:color="auto"/>
        <w:left w:val="none" w:sz="0" w:space="0" w:color="auto"/>
        <w:bottom w:val="none" w:sz="0" w:space="0" w:color="auto"/>
        <w:right w:val="none" w:sz="0" w:space="0" w:color="auto"/>
      </w:divBdr>
    </w:div>
    <w:div w:id="971517618">
      <w:bodyDiv w:val="1"/>
      <w:marLeft w:val="0"/>
      <w:marRight w:val="0"/>
      <w:marTop w:val="0"/>
      <w:marBottom w:val="0"/>
      <w:divBdr>
        <w:top w:val="none" w:sz="0" w:space="0" w:color="auto"/>
        <w:left w:val="none" w:sz="0" w:space="0" w:color="auto"/>
        <w:bottom w:val="none" w:sz="0" w:space="0" w:color="auto"/>
        <w:right w:val="none" w:sz="0" w:space="0" w:color="auto"/>
      </w:divBdr>
      <w:divsChild>
        <w:div w:id="1123187684">
          <w:marLeft w:val="0"/>
          <w:marRight w:val="0"/>
          <w:marTop w:val="0"/>
          <w:marBottom w:val="0"/>
          <w:divBdr>
            <w:top w:val="none" w:sz="0" w:space="0" w:color="auto"/>
            <w:left w:val="none" w:sz="0" w:space="0" w:color="auto"/>
            <w:bottom w:val="none" w:sz="0" w:space="0" w:color="auto"/>
            <w:right w:val="none" w:sz="0" w:space="0" w:color="auto"/>
          </w:divBdr>
        </w:div>
        <w:div w:id="1087966598">
          <w:marLeft w:val="0"/>
          <w:marRight w:val="0"/>
          <w:marTop w:val="0"/>
          <w:marBottom w:val="0"/>
          <w:divBdr>
            <w:top w:val="none" w:sz="0" w:space="0" w:color="auto"/>
            <w:left w:val="none" w:sz="0" w:space="0" w:color="auto"/>
            <w:bottom w:val="none" w:sz="0" w:space="0" w:color="auto"/>
            <w:right w:val="none" w:sz="0" w:space="0" w:color="auto"/>
          </w:divBdr>
        </w:div>
        <w:div w:id="1691492118">
          <w:marLeft w:val="0"/>
          <w:marRight w:val="0"/>
          <w:marTop w:val="0"/>
          <w:marBottom w:val="0"/>
          <w:divBdr>
            <w:top w:val="none" w:sz="0" w:space="0" w:color="auto"/>
            <w:left w:val="none" w:sz="0" w:space="0" w:color="auto"/>
            <w:bottom w:val="none" w:sz="0" w:space="0" w:color="auto"/>
            <w:right w:val="none" w:sz="0" w:space="0" w:color="auto"/>
          </w:divBdr>
        </w:div>
      </w:divsChild>
    </w:div>
    <w:div w:id="1121916921">
      <w:bodyDiv w:val="1"/>
      <w:marLeft w:val="0"/>
      <w:marRight w:val="0"/>
      <w:marTop w:val="0"/>
      <w:marBottom w:val="0"/>
      <w:divBdr>
        <w:top w:val="none" w:sz="0" w:space="0" w:color="auto"/>
        <w:left w:val="none" w:sz="0" w:space="0" w:color="auto"/>
        <w:bottom w:val="none" w:sz="0" w:space="0" w:color="auto"/>
        <w:right w:val="none" w:sz="0" w:space="0" w:color="auto"/>
      </w:divBdr>
    </w:div>
    <w:div w:id="1134132114">
      <w:bodyDiv w:val="1"/>
      <w:marLeft w:val="0"/>
      <w:marRight w:val="0"/>
      <w:marTop w:val="0"/>
      <w:marBottom w:val="0"/>
      <w:divBdr>
        <w:top w:val="none" w:sz="0" w:space="0" w:color="auto"/>
        <w:left w:val="none" w:sz="0" w:space="0" w:color="auto"/>
        <w:bottom w:val="none" w:sz="0" w:space="0" w:color="auto"/>
        <w:right w:val="none" w:sz="0" w:space="0" w:color="auto"/>
      </w:divBdr>
    </w:div>
    <w:div w:id="1240365539">
      <w:bodyDiv w:val="1"/>
      <w:marLeft w:val="0"/>
      <w:marRight w:val="0"/>
      <w:marTop w:val="0"/>
      <w:marBottom w:val="0"/>
      <w:divBdr>
        <w:top w:val="none" w:sz="0" w:space="0" w:color="auto"/>
        <w:left w:val="none" w:sz="0" w:space="0" w:color="auto"/>
        <w:bottom w:val="none" w:sz="0" w:space="0" w:color="auto"/>
        <w:right w:val="none" w:sz="0" w:space="0" w:color="auto"/>
      </w:divBdr>
    </w:div>
    <w:div w:id="1431850696">
      <w:bodyDiv w:val="1"/>
      <w:marLeft w:val="0"/>
      <w:marRight w:val="0"/>
      <w:marTop w:val="0"/>
      <w:marBottom w:val="0"/>
      <w:divBdr>
        <w:top w:val="none" w:sz="0" w:space="0" w:color="auto"/>
        <w:left w:val="none" w:sz="0" w:space="0" w:color="auto"/>
        <w:bottom w:val="none" w:sz="0" w:space="0" w:color="auto"/>
        <w:right w:val="none" w:sz="0" w:space="0" w:color="auto"/>
      </w:divBdr>
    </w:div>
    <w:div w:id="1436632665">
      <w:bodyDiv w:val="1"/>
      <w:marLeft w:val="0"/>
      <w:marRight w:val="0"/>
      <w:marTop w:val="0"/>
      <w:marBottom w:val="0"/>
      <w:divBdr>
        <w:top w:val="none" w:sz="0" w:space="0" w:color="auto"/>
        <w:left w:val="none" w:sz="0" w:space="0" w:color="auto"/>
        <w:bottom w:val="none" w:sz="0" w:space="0" w:color="auto"/>
        <w:right w:val="none" w:sz="0" w:space="0" w:color="auto"/>
      </w:divBdr>
      <w:divsChild>
        <w:div w:id="506942928">
          <w:marLeft w:val="0"/>
          <w:marRight w:val="0"/>
          <w:marTop w:val="0"/>
          <w:marBottom w:val="0"/>
          <w:divBdr>
            <w:top w:val="none" w:sz="0" w:space="0" w:color="auto"/>
            <w:left w:val="none" w:sz="0" w:space="0" w:color="auto"/>
            <w:bottom w:val="none" w:sz="0" w:space="0" w:color="auto"/>
            <w:right w:val="none" w:sz="0" w:space="0" w:color="auto"/>
          </w:divBdr>
        </w:div>
        <w:div w:id="826826298">
          <w:marLeft w:val="0"/>
          <w:marRight w:val="0"/>
          <w:marTop w:val="0"/>
          <w:marBottom w:val="0"/>
          <w:divBdr>
            <w:top w:val="none" w:sz="0" w:space="0" w:color="auto"/>
            <w:left w:val="none" w:sz="0" w:space="0" w:color="auto"/>
            <w:bottom w:val="none" w:sz="0" w:space="0" w:color="auto"/>
            <w:right w:val="none" w:sz="0" w:space="0" w:color="auto"/>
          </w:divBdr>
        </w:div>
        <w:div w:id="374086739">
          <w:marLeft w:val="0"/>
          <w:marRight w:val="0"/>
          <w:marTop w:val="0"/>
          <w:marBottom w:val="0"/>
          <w:divBdr>
            <w:top w:val="none" w:sz="0" w:space="0" w:color="auto"/>
            <w:left w:val="none" w:sz="0" w:space="0" w:color="auto"/>
            <w:bottom w:val="none" w:sz="0" w:space="0" w:color="auto"/>
            <w:right w:val="none" w:sz="0" w:space="0" w:color="auto"/>
          </w:divBdr>
        </w:div>
      </w:divsChild>
    </w:div>
    <w:div w:id="1527282532">
      <w:bodyDiv w:val="1"/>
      <w:marLeft w:val="0"/>
      <w:marRight w:val="0"/>
      <w:marTop w:val="0"/>
      <w:marBottom w:val="0"/>
      <w:divBdr>
        <w:top w:val="none" w:sz="0" w:space="0" w:color="auto"/>
        <w:left w:val="none" w:sz="0" w:space="0" w:color="auto"/>
        <w:bottom w:val="none" w:sz="0" w:space="0" w:color="auto"/>
        <w:right w:val="none" w:sz="0" w:space="0" w:color="auto"/>
      </w:divBdr>
    </w:div>
    <w:div w:id="1941260069">
      <w:bodyDiv w:val="1"/>
      <w:marLeft w:val="0"/>
      <w:marRight w:val="0"/>
      <w:marTop w:val="0"/>
      <w:marBottom w:val="0"/>
      <w:divBdr>
        <w:top w:val="none" w:sz="0" w:space="0" w:color="auto"/>
        <w:left w:val="none" w:sz="0" w:space="0" w:color="auto"/>
        <w:bottom w:val="none" w:sz="0" w:space="0" w:color="auto"/>
        <w:right w:val="none" w:sz="0" w:space="0" w:color="auto"/>
      </w:divBdr>
    </w:div>
    <w:div w:id="1948924013">
      <w:bodyDiv w:val="1"/>
      <w:marLeft w:val="0"/>
      <w:marRight w:val="0"/>
      <w:marTop w:val="0"/>
      <w:marBottom w:val="0"/>
      <w:divBdr>
        <w:top w:val="none" w:sz="0" w:space="0" w:color="auto"/>
        <w:left w:val="none" w:sz="0" w:space="0" w:color="auto"/>
        <w:bottom w:val="none" w:sz="0" w:space="0" w:color="auto"/>
        <w:right w:val="none" w:sz="0" w:space="0" w:color="auto"/>
      </w:divBdr>
    </w:div>
    <w:div w:id="208313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A3CE34E-85CB-4752-81AB-222E52AB88EB}"/>
      </w:docPartPr>
      <w:docPartBody>
        <w:p w:rsidR="00000000" w:rsidRDefault="000E5D3D">
          <w:r w:rsidRPr="005C53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3D"/>
    <w:rsid w:val="000E5D3D"/>
    <w:rsid w:val="00100956"/>
    <w:rsid w:val="00EA1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D3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E10598-7558-41C5-8FD2-6948865CDF0F}">
  <we:reference id="wa104382081" version="1.55.1.0" store="en-US" storeType="OMEX"/>
  <we:alternateReferences>
    <we:reference id="WA104382081" version="1.55.1.0" store="" storeType="OMEX"/>
  </we:alternateReferences>
  <we:properties>
    <we:property name="MENDELEY_CITATIONS" value="[{&quot;citationID&quot;:&quot;MENDELEY_CITATION_bd5be26e-7792-4671-b6b8-14caabb23b1d&quot;,&quot;properties&quot;:{&quot;noteIndex&quot;:0},&quot;isEdited&quot;:false,&quot;manualOverride&quot;:{&quot;isManuallyOverridden&quot;:true,&quot;citeprocText&quot;:&quot;(Horton &lt;i&gt;et al.&lt;/i&gt;, 2025)&quot;,&quot;manualOverrideText&quot;:&quot;Horton et al., (2025)&quot;},&quot;citationTag&quot;:&quot;MENDELEY_CITATION_v3_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&quot;,&quot;citationItems&quot;:[{&quot;id&quot;:&quot;00e39aa7-ae88-30c8-8e64-f56d7e26fd56&quot;,&quot;itemData&quot;:{&quot;type&quot;:&quot;article-journal&quot;,&quot;id&quot;:&quot;00e39aa7-ae88-30c8-8e64-f56d7e26fd56&quot;,&quot;title&quot;:&quot;ACM TechBrief: Advancing Accessibility in the Digital World&quot;,&quot;author&quot;:[{&quot;family&quot;:&quot;Horton&quot;,&quot;given&quot;:&quot;Sarah&quot;,&quot;parse-names&quot;:false,&quot;dropping-particle&quot;:&quot;&quot;,&quot;non-dropping-particle&quot;:&quot;&quot;},{&quot;family&quot;:&quot;Schlesinger&quot;,&quot;given&quot;:&quot;Ari&quot;,&quot;parse-names&quot;:false,&quot;dropping-particle&quot;:&quot;&quot;,&quot;non-dropping-particle&quot;:&quot;&quot;},{&quot;family&quot;:&quot;Sloan&quot;,&quot;given&quot;:&quot;David&quot;,&quot;parse-names&quot;:false,&quot;dropping-particle&quot;:&quot;&quot;,&quot;non-dropping-particle&quot;:&quot;&quot;},{&quot;family&quot;:&quot;Dori-Hacohen&quot;,&quot;given&quot;:&quot;Shiri&quot;,&quot;parse-names&quot;:false,&quot;dropping-particle&quot;:&quot;&quot;,&quot;non-dropping-particle&quot;:&quot;&quot;},{&quot;family&quot;:&quot;Smith&quot;,&quot;given&quot;:&quot;Peter&quot;,&quot;parse-names&quot;:false,&quot;dropping-particle&quot;:&quot;&quot;,&quot;non-dropping-particle&quot;:&quot;&quot;},{&quot;family&quot;:&quot;Greenfield&quot;,&quot;given&quot;:&quot;Mark&quot;,&quot;parse-names&quot;:false,&quot;dropping-particle&quot;:&quot;&quot;,&quot;non-dropping-particle&quot;:&quot;&quot;},{&quot;family&quot;:&quot;Granger&quot;,&quot;given&quot;:&quot;Sarah&quot;,&quot;parse-names&quot;:false,&quot;dropping-particle&quot;:&quot;&quot;,&quot;non-dropping-particle&quot;:&quot;&quot;},{&quot;family&quot;:&quot;Murray&quot;,&quot;given&quot;:&quot;John&quot;,&quot;parse-names&quot;:false,&quot;dropping-particle&quot;:&quot;&quot;,&quot;non-dropping-particle&quot;:&quot;&quot;}],&quot;accessed&quot;:{&quot;date-parts&quot;:[[2025,5,24]]},&quot;DOI&quot;:&quot;10.1145/3731725&quot;,&quot;ISBN&quot;:&quot;979-8-4007-3172-3&quot;,&quot;URL&quot;:&quot;https://www.acm.org/code-of-ethics/case-studies/accessibility-in-software-development&quot;,&quot;issued&quot;:{&quot;date-parts&quot;:[[2025,4,22]]},&quot;publisher&quot;:&quot;ACM&quot;,&quot;container-title-short&quot;:&quot;&quot;},&quot;isTemporary&quot;:false}]},{&quot;citationID&quot;:&quot;MENDELEY_CITATION_9a2f3fda-e969-40a7-8a35-2e52e5fa396d&quot;,&quot;properties&quot;:{&quot;noteIndex&quot;:0},&quot;isEdited&quot;:false,&quot;manualOverride&quot;:{&quot;isManuallyOverridden&quot;:false,&quot;citeprocText&quot;:&quot;(&lt;i&gt;The Americans with Disabilities Act | ADA.gov&lt;/i&gt;, no date)&quot;,&quot;manualOverrideText&quot;:&quot;&quot;},&quot;citationTag&quot;:&quot;MENDELEY_CITATION_v3_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&quot;,&quot;citationItems&quot;:[{&quot;id&quot;:&quot;244ac44c-d4c2-3f51-be1b-044718247f84&quot;,&quot;itemData&quot;:{&quot;type&quot;:&quot;webpage&quot;,&quot;id&quot;:&quot;244ac44c-d4c2-3f51-be1b-044718247f84&quot;,&quot;title&quot;:&quot;The Americans with Disabilities Act | ADA.gov&quot;,&quot;accessed&quot;:{&quot;date-parts&quot;:[[2025,5,24]]},&quot;URL&quot;:&quot;https://www.ada.gov/&quot;,&quot;container-title-short&quot;:&quot;&quot;},&quot;isTemporary&quot;:false}]},{&quot;citationID&quot;:&quot;MENDELEY_CITATION_d16de3e2-f8c2-43b2-a594-8b4db6f747e4&quot;,&quot;properties&quot;:{&quot;noteIndex&quot;:0},&quot;isEdited&quot;:false,&quot;manualOverride&quot;:{&quot;isManuallyOverridden&quot;:false,&quot;citeprocText&quot;:&quot;(&lt;i&gt;BCS Code of Conduct for members - Ethics for IT professionals | BCS&lt;/i&gt;, no date)&quot;,&quot;manualOverrideText&quot;:&quot;&quot;},&quot;citationTag&quot;:&quot;MENDELEY_CITATION_v3_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&quot;,&quot;citationItems&quot;:[{&quot;id&quot;:&quot;9e5cb8d4-b42a-3a04-b462-5a60212dad46&quot;,&quot;itemData&quot;:{&quot;type&quot;:&quot;webpage&quot;,&quot;id&quot;:&quot;9e5cb8d4-b42a-3a04-b462-5a60212dad46&quot;,&quot;title&quot;:&quot;BCS Code of Conduct for members - Ethics for IT professionals | BCS&quot;,&quot;accessed&quot;:{&quot;date-parts&quot;:[[2025,5,24]]},&quot;URL&quot;:&quot;https://www.bcs.org/membership-and-registrations/become-a-member/bcs-code-of-conduct&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DA548-D80E-4198-9388-4883EB79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Onyeemeosi, Kingsley O</dc:creator>
  <cp:keywords/>
  <dc:description/>
  <cp:lastModifiedBy>kingsley onyeemeosi</cp:lastModifiedBy>
  <cp:revision>3</cp:revision>
  <dcterms:created xsi:type="dcterms:W3CDTF">2025-05-24T12:28:00Z</dcterms:created>
  <dcterms:modified xsi:type="dcterms:W3CDTF">2025-05-24T16:47:00Z</dcterms:modified>
</cp:coreProperties>
</file>