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1AF4E1" w14:textId="3B29747E" w:rsidR="001B08EF" w:rsidRPr="001B08EF" w:rsidRDefault="001B08EF">
      <w:pPr>
        <w:rPr>
          <w:b/>
          <w:bCs/>
        </w:rPr>
      </w:pPr>
      <w:r w:rsidRPr="001B08EF">
        <w:rPr>
          <w:b/>
          <w:bCs/>
        </w:rPr>
        <w:t>Reflection on Global Approaches to Generative AI and Recommendations</w:t>
      </w:r>
    </w:p>
    <w:p w14:paraId="6D76DAF0" w14:textId="6839DE88" w:rsidR="00B82D38" w:rsidRDefault="00000000">
      <w:r>
        <w:t>The global response to generative artificial intelligence (AI) is as diverse as the cultural, political, and legal systems shaping it. While AI promises substantial benefits—enhancing productivity, innovation, and social services—it also introduces complex ethical, legal, and professional challenges. This reflection explores how different countries are responding to the generative AI revolution, evaluates the implications for computing professionals, and offers a recommended path forward supported by academic literature.</w:t>
      </w:r>
    </w:p>
    <w:p w14:paraId="03BA2A98" w14:textId="77777777" w:rsidR="00B82D38" w:rsidRDefault="00000000">
      <w:r>
        <w:t>A comparative review by Corrêa et al. (2023) of over 200 AI ethics guidelines worldwide reveals that despite significant regional differences, there is convergence on core principles like transparency, accountability, fairness, and privacy. However, implementation and enforcement mechanisms diverge widely.</w:t>
      </w:r>
    </w:p>
    <w:p w14:paraId="1800B102" w14:textId="77777777" w:rsidR="00B82D38" w:rsidRDefault="00000000">
      <w:r>
        <w:t>The European Union has taken a proactive stance with the AI Act, which categorizes AI applications into risk tiers and imposes strict obligations on high-risk systems. This regulation reflects Europe’s commitment to fundamental rights, human dignity, and democratic values (Corrêa et al., 2023). The Act is grounded in precaution and aims to prevent harm before it occurs.</w:t>
      </w:r>
    </w:p>
    <w:p w14:paraId="6D935E82" w14:textId="77777777" w:rsidR="00B82D38" w:rsidRDefault="00000000">
      <w:r>
        <w:t>In contrast, the United States emphasizes a market-driven approach. Although some states have introduced AI-specific bills, there is no comprehensive federal AI legislation. Instead, the U.S. favors industry-led standards and voluntary frameworks. This model encourages innovation but raises concerns about accountability and fairness, especially in areas like law enforcement or healthcare (Arbelaez Ossa et al., 2024).</w:t>
      </w:r>
    </w:p>
    <w:p w14:paraId="499D97B0" w14:textId="77777777" w:rsidR="00B82D38" w:rsidRDefault="00000000">
      <w:r>
        <w:t>China, meanwhile, adopts a state-controlled but innovation-friendly model. The Chinese government has implemented technical standards and ethics guidelines while actively investing in AI development. However, critics argue that these measures primarily reinforce state authority and surveillance rather than protect individual rights (Corrêa et al., 2023).</w:t>
      </w:r>
    </w:p>
    <w:p w14:paraId="3DD11B85" w14:textId="77777777" w:rsidR="00B82D38" w:rsidRDefault="00000000">
      <w:r>
        <w:t>Generative AI challenges legal systems by disrupting concepts like authorship, liability, and informed consent. For instance, AI-generated content can be difficult to trace back to a responsible agent, raising legal ambiguities. In the creative industries, AI tools trained on copyrighted material without consent raise intellectual property concerns (Arbelaez Ossa et al., 2024). In healthcare, ethical dilemmas emerge around patient privacy and decision-making when using AI diagnostic tools.</w:t>
      </w:r>
    </w:p>
    <w:p w14:paraId="1A199C54" w14:textId="77777777" w:rsidR="00B82D38" w:rsidRDefault="00000000">
      <w:r>
        <w:t>Professionally, AI impacts computing and legal practitioners alike. For example, legal professionals are increasingly reliant on tools like ChatGPT for drafting documents or summarizing case law. However, such systems can produce “hallucinations”—plausible-</w:t>
      </w:r>
      <w:r>
        <w:lastRenderedPageBreak/>
        <w:t>sounding but inaccurate information—which could mislead practitioners and violate ethical obligations (Corrêa et al., 2023).</w:t>
      </w:r>
    </w:p>
    <w:p w14:paraId="638F0247" w14:textId="77777777" w:rsidR="00B82D38" w:rsidRDefault="00000000">
      <w:r>
        <w:t>Computing professionals are similarly exposed to high-stakes ethical decision-making. The ACM Code of Ethics highlights principles such as contributing to society, avoiding harm, and being accountable. Yet the speed of AI development often outpaces ethical training and regulatory clarity, leaving professionals unsure about best practices.</w:t>
      </w:r>
    </w:p>
    <w:p w14:paraId="00574DBD" w14:textId="77777777" w:rsidR="00B82D38" w:rsidRDefault="00000000">
      <w:r>
        <w:t>AI systems reflect the data and biases of the societies that create them. If not properly regulated, generative AI can exacerbate existing inequalities. For example, language models trained predominantly on English or Western datasets may marginalize non-Western perspectives. Similarly, if AI tools used in recruitment are trained on biased historical hiring data, they may perpetuate gender or racial discrimination (Corrêa et al., 2023).</w:t>
      </w:r>
    </w:p>
    <w:p w14:paraId="304E0D60" w14:textId="77777777" w:rsidR="00B82D38" w:rsidRDefault="00000000">
      <w:r>
        <w:t>Public trust is a crucial social consideration. A lack of transparency in AI decision-making—especially in high-stakes domains like healthcare or criminal justice—can erode public confidence. Arbelaez Ossa et al. (2024) argue that inclusive, participatory approaches to AI governance are essential to aligning technologies with societal values.</w:t>
      </w:r>
    </w:p>
    <w:p w14:paraId="3D63DAD1" w14:textId="77777777" w:rsidR="00B82D38" w:rsidRDefault="00000000">
      <w:r>
        <w:t>To address these issues, I recommend a hybrid governance framework built on international cooperation, adaptive regulation, and professional accountability.</w:t>
      </w:r>
    </w:p>
    <w:p w14:paraId="3ACE5BF8" w14:textId="77777777" w:rsidR="00B82D38" w:rsidRDefault="00000000">
      <w:r>
        <w:t>1. Establish Context-Specific but Harmonized Regulations: Governments should adopt laws tailored to their social and legal contexts while aligning with global ethical standards. For example, the EU’s risk-based model could be adapted in countries with different risk perceptions but similar values.</w:t>
      </w:r>
    </w:p>
    <w:p w14:paraId="19AAFCFB" w14:textId="77777777" w:rsidR="00B82D38" w:rsidRDefault="00000000">
      <w:r>
        <w:t>2. Mandatory Professional Training and Certification: Computing professionals should be required to undergo regular ethics and compliance training. Institutions like the British Computer Society (BCS) or ACM could offer certifications linked to continuing professional development.</w:t>
      </w:r>
    </w:p>
    <w:p w14:paraId="4FB7F263" w14:textId="77777777" w:rsidR="00B82D38" w:rsidRDefault="00000000">
      <w:r>
        <w:t>3. Transparency and Explainability by Design: Developers must prioritize interpretability, particularly for AI systems in healthcare, law, or public administration. Regulators should mandate the publication of model training data and decision rationale where feasible.</w:t>
      </w:r>
    </w:p>
    <w:p w14:paraId="5EDAAB8F" w14:textId="77777777" w:rsidR="00B82D38" w:rsidRDefault="00000000">
      <w:r>
        <w:t>4. Public Engagement in AI Policy: Policy frameworks should include civil society input. Deliberative forums—citizen assemblies, consultations with underrepresented groups—can surface overlooked perspectives and strengthen democratic legitimacy.</w:t>
      </w:r>
    </w:p>
    <w:p w14:paraId="05F486DD" w14:textId="77777777" w:rsidR="00B82D38" w:rsidRDefault="00000000">
      <w:r>
        <w:lastRenderedPageBreak/>
        <w:t>5. Global Regulatory Alignment: Platforms like the OECD, UNESCO, and the Global Partnership on AI (GPAI) can facilitate international consensus on baseline principles, such as prohibiting AI use in surveillance or autonomous weapons.</w:t>
      </w:r>
    </w:p>
    <w:p w14:paraId="10E66DB5" w14:textId="77777777" w:rsidR="00B82D38" w:rsidRDefault="00000000">
      <w:r>
        <w:t>Implementing these measures will have positive ripple effects:</w:t>
      </w:r>
    </w:p>
    <w:p w14:paraId="730B6CAD" w14:textId="77777777" w:rsidR="00B82D38" w:rsidRDefault="00000000">
      <w:r>
        <w:t>- Legal Impact: Clarifying responsibility and liability will reduce ambiguity for developers and users. Explicit regulations can prevent litigation and protect rights.</w:t>
      </w:r>
    </w:p>
    <w:p w14:paraId="18552455" w14:textId="77777777" w:rsidR="00B82D38" w:rsidRDefault="00000000">
      <w:r>
        <w:t>- Social Impact: Transparent, inclusive AI governance builds public trust, enhances societal cohesion, and reduces discrimination risks.</w:t>
      </w:r>
    </w:p>
    <w:p w14:paraId="155F918C" w14:textId="77777777" w:rsidR="00B82D38" w:rsidRDefault="00000000">
      <w:r>
        <w:t>- Professional Impact: Developers and engineers will gain clearer guidance and feel more confident in ethical decision-making, contributing to higher standards of care and accountability.</w:t>
      </w:r>
    </w:p>
    <w:p w14:paraId="0E5F51F9" w14:textId="77777777" w:rsidR="00B82D38" w:rsidRDefault="00000000">
      <w:r>
        <w:t>- Technological Impact: Improved oversight will not stifle innovation but rather foster responsible innovation, ensuring technologies that serve the public good.</w:t>
      </w:r>
    </w:p>
    <w:p w14:paraId="79D87414" w14:textId="77777777" w:rsidR="00B82D38" w:rsidRDefault="00000000">
      <w:r>
        <w:t>The generative AI revolution is a defining moment in technological governance. Countries around the world are taking varied approaches to its regulation, shaped by cultural and political norms. While no single model offers a perfect solution, a balanced, globally informed, and ethically rooted framework is both necessary and achievable. Computing professionals have a pivotal role in this process and must be empowered through education, ethical standards, and institutional support. Only then can we ensure that the future of AI aligns with human values and democratic ideals.</w:t>
      </w:r>
    </w:p>
    <w:p w14:paraId="6BB4964E" w14:textId="3663E601" w:rsidR="001B08EF" w:rsidRDefault="001B08EF">
      <w:r>
        <w:t>References</w:t>
      </w:r>
    </w:p>
    <w:p w14:paraId="477AB934" w14:textId="77777777" w:rsidR="001B08EF" w:rsidRPr="001B08EF" w:rsidRDefault="001B08EF" w:rsidP="001B08EF">
      <w:pPr>
        <w:numPr>
          <w:ilvl w:val="0"/>
          <w:numId w:val="11"/>
        </w:numPr>
      </w:pPr>
      <w:r w:rsidRPr="001B08EF">
        <w:t xml:space="preserve">Arbelaez Ossa, L., Milford, S. R., Rost, M., Leist, A. K., Shaw, D. M. and Elger, B. S. (2024) ‘AI Through Ethical Lenses: A Discourse Analysis of Guidelines for AI in Healthcare’, </w:t>
      </w:r>
      <w:r w:rsidRPr="001B08EF">
        <w:rPr>
          <w:i/>
          <w:iCs/>
        </w:rPr>
        <w:t>Science and Engineering Ethics</w:t>
      </w:r>
      <w:r w:rsidRPr="001B08EF">
        <w:t xml:space="preserve">, 30(3). Available at: </w:t>
      </w:r>
      <w:hyperlink r:id="rId6" w:history="1">
        <w:r w:rsidRPr="001B08EF">
          <w:rPr>
            <w:rStyle w:val="Hyperlink"/>
          </w:rPr>
          <w:t>https://link.springer.com/article/10.1007/s11948-024-00486-0</w:t>
        </w:r>
      </w:hyperlink>
      <w:r w:rsidRPr="001B08EF">
        <w:t>.</w:t>
      </w:r>
    </w:p>
    <w:p w14:paraId="4A1FE7F7" w14:textId="77777777" w:rsidR="001B08EF" w:rsidRPr="001B08EF" w:rsidRDefault="001B08EF" w:rsidP="001B08EF">
      <w:pPr>
        <w:numPr>
          <w:ilvl w:val="0"/>
          <w:numId w:val="10"/>
        </w:numPr>
      </w:pPr>
      <w:r w:rsidRPr="001B08EF">
        <w:t xml:space="preserve">Corrêa, N. K., Galvão, C., Santos, J. W., Del Pino, C., Pinto, E. P., Barbosa, C., Massmann, D., </w:t>
      </w:r>
      <w:proofErr w:type="spellStart"/>
      <w:r w:rsidRPr="001B08EF">
        <w:t>Mambrini</w:t>
      </w:r>
      <w:proofErr w:type="spellEnd"/>
      <w:r w:rsidRPr="001B08EF">
        <w:t xml:space="preserve">, R., Galvão, L., Terem, E. and de Oliveira, N. (2023) ‘Worldwide AI ethics: A review of 200 guidelines and recommendations for AI governance’, </w:t>
      </w:r>
      <w:r w:rsidRPr="001B08EF">
        <w:rPr>
          <w:i/>
          <w:iCs/>
        </w:rPr>
        <w:t>Patterns</w:t>
      </w:r>
      <w:r w:rsidRPr="001B08EF">
        <w:t xml:space="preserve">, 4(10), p. 100857. Available at: </w:t>
      </w:r>
      <w:hyperlink r:id="rId7" w:history="1">
        <w:r w:rsidRPr="001B08EF">
          <w:rPr>
            <w:rStyle w:val="Hyperlink"/>
          </w:rPr>
          <w:t>https://www.sciencedirect.com/science/article/pii/S2666389923002416</w:t>
        </w:r>
      </w:hyperlink>
      <w:r w:rsidRPr="001B08EF">
        <w:t>.</w:t>
      </w:r>
    </w:p>
    <w:p w14:paraId="03CBDF6A" w14:textId="77777777" w:rsidR="001B08EF" w:rsidRPr="001B08EF" w:rsidRDefault="001B08EF" w:rsidP="001B08EF"/>
    <w:p w14:paraId="5CD7D7CF" w14:textId="77777777" w:rsidR="00A13AE7" w:rsidRDefault="00A13AE7" w:rsidP="00A13AE7"/>
    <w:p w14:paraId="40F67D01" w14:textId="77777777" w:rsidR="00A13AE7" w:rsidRDefault="00A13AE7"/>
    <w:p w14:paraId="419D9A2C" w14:textId="77777777" w:rsidR="00A13AE7" w:rsidRDefault="00A13AE7"/>
    <w:sectPr w:rsidR="00A13AE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E321A01"/>
    <w:multiLevelType w:val="multilevel"/>
    <w:tmpl w:val="82127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C23FAF"/>
    <w:multiLevelType w:val="hybridMultilevel"/>
    <w:tmpl w:val="A5B221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97759144">
    <w:abstractNumId w:val="8"/>
  </w:num>
  <w:num w:numId="2" w16cid:durableId="1264535040">
    <w:abstractNumId w:val="6"/>
  </w:num>
  <w:num w:numId="3" w16cid:durableId="1814642244">
    <w:abstractNumId w:val="5"/>
  </w:num>
  <w:num w:numId="4" w16cid:durableId="822240167">
    <w:abstractNumId w:val="4"/>
  </w:num>
  <w:num w:numId="5" w16cid:durableId="99223234">
    <w:abstractNumId w:val="7"/>
  </w:num>
  <w:num w:numId="6" w16cid:durableId="1638486357">
    <w:abstractNumId w:val="3"/>
  </w:num>
  <w:num w:numId="7" w16cid:durableId="796533918">
    <w:abstractNumId w:val="2"/>
  </w:num>
  <w:num w:numId="8" w16cid:durableId="892541438">
    <w:abstractNumId w:val="1"/>
  </w:num>
  <w:num w:numId="9" w16cid:durableId="1539976571">
    <w:abstractNumId w:val="0"/>
  </w:num>
  <w:num w:numId="10" w16cid:durableId="233392837">
    <w:abstractNumId w:val="9"/>
  </w:num>
  <w:num w:numId="11" w16cid:durableId="174387128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08EF"/>
    <w:rsid w:val="0029639D"/>
    <w:rsid w:val="00326F90"/>
    <w:rsid w:val="00431432"/>
    <w:rsid w:val="00474C7C"/>
    <w:rsid w:val="00892388"/>
    <w:rsid w:val="00A13AE7"/>
    <w:rsid w:val="00AA1D8D"/>
    <w:rsid w:val="00B47730"/>
    <w:rsid w:val="00B82D38"/>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3E6827"/>
  <w14:defaultImageDpi w14:val="300"/>
  <w15:docId w15:val="{C7BA2FB0-69E4-4669-B82B-850026CE4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A13AE7"/>
    <w:rPr>
      <w:color w:val="0000FF" w:themeColor="hyperlink"/>
      <w:u w:val="single"/>
    </w:rPr>
  </w:style>
  <w:style w:type="character" w:styleId="UnresolvedMention">
    <w:name w:val="Unresolved Mention"/>
    <w:basedOn w:val="DefaultParagraphFont"/>
    <w:uiPriority w:val="99"/>
    <w:semiHidden/>
    <w:unhideWhenUsed/>
    <w:rsid w:val="00A13AE7"/>
    <w:rPr>
      <w:color w:val="605E5C"/>
      <w:shd w:val="clear" w:color="auto" w:fill="E1DFDD"/>
    </w:rPr>
  </w:style>
  <w:style w:type="character" w:styleId="FollowedHyperlink">
    <w:name w:val="FollowedHyperlink"/>
    <w:basedOn w:val="DefaultParagraphFont"/>
    <w:uiPriority w:val="99"/>
    <w:semiHidden/>
    <w:unhideWhenUsed/>
    <w:rsid w:val="00474C7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sciencedirect.com/science/article/pii/S2666389923002416"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springer.com/article/10.1007/s11948-024-00486-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7659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kingsley onyeemeosi</cp:lastModifiedBy>
  <cp:revision>4</cp:revision>
  <dcterms:created xsi:type="dcterms:W3CDTF">2013-12-23T23:15:00Z</dcterms:created>
  <dcterms:modified xsi:type="dcterms:W3CDTF">2025-06-10T19:55:00Z</dcterms:modified>
  <cp:category/>
</cp:coreProperties>
</file>