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수의계약 공개내역서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81"/>
          </w:tcPr>
          <w:p>
            <w:r>
              <w:rPr>
                <w:b/>
              </w:rPr>
              <w:t>사 업 명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</w:p>
        </w:tc>
        <w:tc>
          <w:tcPr>
            <w:tcW w:type="dxa" w:w="2041"/>
          </w:tcPr>
          <w:p>
            <w:r>
              <w:rPr>
                <w:b/>
              </w:rPr>
            </w:r>
          </w:p>
        </w:tc>
        <w:tc>
          <w:tcPr>
            <w:tcW w:type="dxa" w:w="2381"/>
          </w:tcPr>
          <w:p>
            <w:r>
              <w:rPr>
                <w:b/>
              </w:rPr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계약 개요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계약일자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>
              <w:t>계약기간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예정가격(추정금액)(A)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>
              <w:t>계약금액(B)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계약률(%) (B/A)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계약상대자</w:t>
            </w:r>
          </w:p>
        </w:tc>
        <w:tc>
          <w:tcPr>
            <w:tcW w:type="dxa" w:w="2268"/>
          </w:tcPr>
          <w:p>
            <w:r>
              <w:t>업체명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</w:p>
        </w:tc>
        <w:tc>
          <w:tcPr>
            <w:tcW w:type="dxa" w:w="2268"/>
          </w:tcPr>
          <w:p>
            <w:r>
              <w:t>대표자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</w:r>
          </w:p>
        </w:tc>
        <w:tc>
          <w:tcPr>
            <w:tcW w:type="dxa" w:w="2268"/>
          </w:tcPr>
          <w:p>
            <w:r>
              <w:t>주소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수의계약 사유</w:t>
            </w:r>
          </w:p>
        </w:tc>
        <w:tc>
          <w:tcPr>
            <w:tcW w:type="dxa" w:w="2268"/>
          </w:tcPr>
          <w:p>
            <w:r>
              <w:t>※ 관련 법령 근거 및 구체적인 사유를 반드시 적음</w:t>
            </w:r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사업 장소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기    타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041"/>
          </w:tcPr>
          <w:p>
            <w:r/>
          </w:p>
        </w:tc>
        <w:tc>
          <w:tcPr>
            <w:tcW w:type="dxa" w:w="2381"/>
          </w:tcPr>
          <w:p>
            <w:r/>
          </w:p>
        </w:tc>
      </w:tr>
    </w:tbl>
    <w:p/>
    <w:p>
      <w:r>
        <w:rPr>
          <w:sz w:val="18"/>
        </w:rPr>
        <w:t>※ 연습용 빈 양식입니다. 실제 업무에는 최신 「지방자치단체 입찰 및 계약 집행기준」 제5장 제8절을 확인하세요.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