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Variables cuantitativas recomendadas para el MVP</w:t>
      </w:r>
    </w:p>
    <w:p>
      <w:pPr>
        <w:spacing w:after="160"/>
      </w:pPr>
      <w:r>
        <w:rPr>
          <w:sz w:val="20"/>
          <w:szCs w:val="20"/>
        </w:rPr>
        <w:t xml:space="preserve">Idea central: el modelo cuantitativo se apoya en solo dos datos de origen — el </w:t>
      </w:r>
      <w:r>
        <w:rPr>
          <w:b/>
          <w:bCs/>
          <w:sz w:val="20"/>
          <w:szCs w:val="20"/>
        </w:rPr>
        <w:t xml:space="preserve">precio</w:t>
      </w:r>
      <w:r>
        <w:rPr>
          <w:sz w:val="20"/>
          <w:szCs w:val="20"/>
        </w:rPr>
        <w:t xml:space="preserve"> (viene en el aviso) y el </w:t>
      </w:r>
      <w:r>
        <w:rPr>
          <w:b/>
          <w:bCs/>
          <w:sz w:val="20"/>
          <w:szCs w:val="20"/>
        </w:rPr>
        <w:t xml:space="preserve">arriendo de mercado estimado</w:t>
      </w:r>
      <w:r>
        <w:rPr>
          <w:sz w:val="20"/>
          <w:szCs w:val="20"/>
        </w:rPr>
        <w:t xml:space="preserve"> (hay que estimarlo desde comparables). Todo lo demás es fórmula pura o una sola API extra. Por eso el esfuerzo del equipo debe concentrarse en estimar el arriendo.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entra al MVP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 dónde sale el dato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Precio/m² vs mediana de la comuna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 señal más robusta y la única que no depende del arriendo. Responde “¿caro o barato vs la zona?”. Mejor relación valor/esfuerzo.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Precio y m² del aviso + distribución de precio/m² de la comuna (agregado de avisos)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Arriendo estimado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Pilar de datos n.º2: habilita todas las métricas de rentabilidad. Sin esto, nada de rentabilidad funciona.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Avisos de arriendo comparables (misma comuna, m² similar)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Rentabilidad bruta anual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comparador universal entre propiedades y el más fácil de entender para un inversor no técnico.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Fórmula: arriendo × 12 / precio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Dividendo + Flujo de caja mensual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Responde “¿la propiedad se paga sola o debo poner plata cada mes?”. Clarísimo para el público objetivo.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Fórmula francesa con (precio − pie), tasa y plazo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Relación arriendo/dividendo (cobertura)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“El arriendo cubre el 85% del dividendo”: señal intuitiva y potente del soporte operativo.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Fórmula: arriendo / dividendo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UF (soporte)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Normaliza todos los valores al contexto chileno (precios y créditos se expresan en UF).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mindicador.cl (gratis, sin API key) — ya integrado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Tasa hipotecaria (soporte)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Único dato externo que necesita el bloque de financiamiento para estimar el dividendo.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CMF / Banco Central</w:t>
            </w:r>
          </w:p>
        </w:tc>
      </w:tr>
    </w:tbl>
    <w:p>
      <w:pPr>
        <w:pStyle w:val="Heading2"/>
      </w:pPr>
      <w:r>
        <w:t xml:space="preserve">Supuestos del modelo (con valores por defecto que el usuario puede ajustar)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Pie: 20% del precio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Plazo del crédito: 25–30 años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Vacancia: ~1 mes al año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Gastos operacionales: % del arriendo (o suma de contribuciones + gasto común)</w:t>
      </w:r>
    </w:p>
    <w:p>
      <w:pPr>
        <w:spacing w:before="160"/>
      </w:pPr>
      <w:r>
        <w:rPr>
          <w:b/>
          <w:bCs/>
          <w:sz w:val="20"/>
          <w:szCs w:val="20"/>
        </w:rPr>
        <w:t xml:space="preserve">Nota: </w:t>
      </w:r>
      <w:r>
        <w:rPr>
          <w:sz w:val="20"/>
          <w:szCs w:val="20"/>
        </w:rPr>
        <w:t xml:space="preserve">no son datos a buscar, son parámetros del modelo. La plusvalía esperada se deja al análisis cualitativo (proyectos futuros, plan regulador), no se calcula como un % inventado.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2026-06-11T02:58:50.434Z</dcterms:created>
  <dcterms:modified xsi:type="dcterms:W3CDTF">2026-06-11T02:58:50.435Z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