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Brief: lanzamiento de Café del Norte</w:t>
      </w:r>
    </w:p>
    <w:p>
      <w:pPr>
        <w:pStyle w:val="BodyText"/>
        <w:bidi w:val="0"/>
        <w:jc w:val="left"/>
        <w:rPr/>
      </w:pPr>
      <w:r>
        <w:rPr/>
        <w:t xml:space="preserve">Una cafetería de especialidad en </w:t>
      </w:r>
      <w:r>
        <w:rPr>
          <w:b/>
        </w:rPr>
        <w:t>Vigo</w:t>
      </w:r>
      <w:r>
        <w:rPr/>
        <w:t xml:space="preserve"> quiere subir el precio del café un 12 % en octubre.</w:t>
      </w:r>
    </w:p>
    <w:p>
      <w:pPr>
        <w:pStyle w:val="Heading2"/>
        <w:bidi w:val="0"/>
        <w:jc w:val="left"/>
        <w:rPr/>
      </w:pPr>
      <w:r>
        <w:rPr/>
        <w:t>Quién es el público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Estudiantes de la Universidade de Vigo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Trabajadores remotos del barrio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Vecinos de toda la vida</w:t>
      </w:r>
    </w:p>
    <w:p>
      <w:pPr>
        <w:pStyle w:val="Heading2"/>
        <w:bidi w:val="0"/>
        <w:jc w:val="left"/>
        <w:rPr/>
      </w:pPr>
      <w:r>
        <w:rPr/>
        <w:t>Pasos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Anunciar el cambio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Medir la reacción</w:t>
      </w:r>
    </w:p>
    <w:p>
      <w:pPr>
        <w:pStyle w:val="Heading2"/>
        <w:bidi w:val="0"/>
        <w:jc w:val="left"/>
        <w:rPr/>
      </w:pPr>
      <w:r>
        <w:rPr/>
        <w:t>Precios</w:t>
      </w:r>
    </w:p>
    <w:tbl>
      <w:tblPr>
        <w:tblW w:w="324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706"/>
        <w:gridCol w:w="991"/>
      </w:tblGrid>
      <w:tr>
        <w:trPr/>
        <w:tc>
          <w:tcPr>
            <w:tcW w:w="15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Producto</w:t>
            </w:r>
          </w:p>
        </w:tc>
        <w:tc>
          <w:tcPr>
            <w:tcW w:w="7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Antes</w:t>
            </w:r>
          </w:p>
        </w:tc>
        <w:tc>
          <w:tcPr>
            <w:tcW w:w="9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Después</w:t>
            </w:r>
          </w:p>
        </w:tc>
      </w:tr>
      <w:tr>
        <w:trPr/>
        <w:tc>
          <w:tcPr>
            <w:tcW w:w="15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Café solo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1,40 €</w:t>
            </w:r>
          </w:p>
        </w:tc>
        <w:tc>
          <w:tcPr>
            <w:tcW w:w="9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1,57 €</w:t>
            </w:r>
          </w:p>
        </w:tc>
      </w:tr>
      <w:tr>
        <w:trPr/>
        <w:tc>
          <w:tcPr>
            <w:tcW w:w="15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Café con leche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1,70 €</w:t>
            </w:r>
          </w:p>
        </w:tc>
        <w:tc>
          <w:tcPr>
            <w:tcW w:w="9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1,90 €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 xml:space="preserve">Ñandú, açaí, ¿qué opinas? </w:t>
      </w:r>
      <w:r>
        <w:rPr/>
        <w:t xml:space="preserve">咖啡价格上调 — </w:t>
      </w:r>
      <w:r>
        <w:rPr/>
        <w:t>«comillas» y “tipográficas”.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s-E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Brief de ejemplo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