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for attorney review. Not legal advice.</w:t>
      </w:r>
    </w:p>
    <w:bookmarkStart w:id="22" w:name="brand-campaign-agreement"/>
    <w:p>
      <w:pPr>
        <w:pStyle w:val="Heading1"/>
      </w:pPr>
      <w:r>
        <w:t xml:space="preserve">Brand Campaign Agreement</w:t>
      </w:r>
    </w:p>
    <w:p>
      <w:pPr>
        <w:pStyle w:val="FirstParagraph"/>
      </w:pPr>
      <w:r>
        <w:t xml:space="preserve">Between</w:t>
      </w:r>
      <w:r>
        <w:t xml:space="preserve"> </w:t>
      </w:r>
      <w:r>
        <w:rPr>
          <w:bCs/>
          <w:b/>
        </w:rPr>
        <w:t xml:space="preserve">Desk Drop LLC</w:t>
      </w:r>
      <w:r>
        <w:t xml:space="preserve"> </w:t>
      </w:r>
      <w:r>
        <w:t xml:space="preserve">("</w:t>
      </w:r>
      <w:r>
        <w:rPr>
          <w:bCs/>
          <w:b/>
        </w:rPr>
        <w:t xml:space="preserve">we</w:t>
      </w:r>
      <w:r>
        <w:t xml:space="preserve">", "</w:t>
      </w:r>
      <w:r>
        <w:rPr>
          <w:bCs/>
          <w:b/>
        </w:rPr>
        <w:t xml:space="preserve">us</w:t>
      </w:r>
      <w:r>
        <w:t xml:space="preserve">", the "</w:t>
      </w:r>
      <w:r>
        <w:rPr>
          <w:bCs/>
          <w:b/>
        </w:rPr>
        <w:t xml:space="preserve">Company</w:t>
      </w:r>
      <w:r>
        <w:t xml:space="preserve">") and the brand named in Part 1 ("</w:t>
      </w:r>
      <w:r>
        <w:rPr>
          <w:bCs/>
          <w:b/>
        </w:rPr>
        <w:t xml:space="preserve">you</w:t>
      </w:r>
      <w:r>
        <w:t xml:space="preserve">"). Version 0.2.</w:t>
      </w:r>
    </w:p>
    <w:bookmarkStart w:id="20" w:name="part-1--this-campaign"/>
    <w:p>
      <w:pPr>
        <w:pStyle w:val="Heading2"/>
      </w:pPr>
      <w:r>
        <w:t xml:space="preserve">Part 1 · This campaign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rPr>
                <w:bCs/>
                <w:b/>
              </w:rPr>
              <w:t xml:space="preserve">Brand</w:t>
            </w:r>
            <w:r>
              <w:t xml:space="preserve"> </w:t>
            </w:r>
            <w:r>
              <w:t xml:space="preserve">(legal name, address)</w:t>
            </w:r>
          </w:p>
        </w:tc>
        <w:tc>
          <w:tcPr/>
          <w:p>
            <w:pPr>
              <w:pStyle w:val="Compact"/>
              <w:jc w:val="left"/>
            </w:pPr>
            <w:r>
              <w:t xml:space="preserve">[BRAND LEGAL NAME], [BRAND ADDRESS]</w:t>
            </w:r>
          </w:p>
        </w:tc>
      </w:tr>
      <w:tr>
        <w:tc>
          <w:tcPr/>
          <w:p>
            <w:pPr>
              <w:pStyle w:val="Compact"/>
              <w:jc w:val="left"/>
            </w:pPr>
            <w:r>
              <w:rPr>
                <w:bCs/>
                <w:b/>
              </w:rPr>
              <w:t xml:space="preserve">Your contact</w:t>
            </w:r>
            <w:r>
              <w:t xml:space="preserve"> </w:t>
            </w:r>
            <w:r>
              <w:t xml:space="preserve">(name, title, email, phone)</w:t>
            </w:r>
          </w:p>
        </w:tc>
        <w:tc>
          <w:tcPr/>
          <w:p>
            <w:pPr>
              <w:pStyle w:val="Compact"/>
              <w:jc w:val="left"/>
            </w:pPr>
            <w:r>
              <w:t xml:space="preserve">[CONTACT NAME], [TITLE], [EMAIL], [PHONE]</w:t>
            </w:r>
          </w:p>
        </w:tc>
      </w:tr>
      <w:tr>
        <w:tc>
          <w:tcPr/>
          <w:p>
            <w:pPr>
              <w:pStyle w:val="Compact"/>
              <w:jc w:val="left"/>
            </w:pPr>
            <w:r>
              <w:rPr>
                <w:bCs/>
                <w:b/>
              </w:rPr>
              <w:t xml:space="preserve">Tier</w:t>
            </w:r>
          </w:p>
        </w:tc>
        <w:tc>
          <w:tcPr/>
          <w:p>
            <w:pPr>
              <w:pStyle w:val="Compact"/>
              <w:jc w:val="left"/>
            </w:pPr>
            <w:r>
              <w:t xml:space="preserve">☐ Founding: $600 for 5 offices (offered to our first three brands only) ☐ Standard: $1,500 for 10 offices ($150 per office)</w:t>
            </w:r>
          </w:p>
        </w:tc>
      </w:tr>
      <w:tr>
        <w:tc>
          <w:tcPr/>
          <w:p>
            <w:pPr>
              <w:pStyle w:val="Compact"/>
              <w:jc w:val="left"/>
            </w:pPr>
            <w:r>
              <w:rPr>
                <w:bCs/>
                <w:b/>
              </w:rPr>
              <w:t xml:space="preserve">Extra offices</w:t>
            </w:r>
          </w:p>
        </w:tc>
        <w:tc>
          <w:tcPr/>
          <w:p>
            <w:pPr>
              <w:pStyle w:val="Compact"/>
              <w:jc w:val="left"/>
            </w:pPr>
            <w:r>
              <w:t xml:space="preserve">[NUMBER] at $150 each</w:t>
            </w:r>
          </w:p>
        </w:tc>
      </w:tr>
      <w:tr>
        <w:tc>
          <w:tcPr/>
          <w:p>
            <w:pPr>
              <w:pStyle w:val="Compact"/>
              <w:jc w:val="left"/>
            </w:pPr>
            <w:r>
              <w:rPr>
                <w:bCs/>
                <w:b/>
              </w:rPr>
              <w:t xml:space="preserve">Total price</w:t>
            </w:r>
          </w:p>
        </w:tc>
        <w:tc>
          <w:tcPr/>
          <w:p>
            <w:pPr>
              <w:pStyle w:val="Compact"/>
              <w:jc w:val="left"/>
            </w:pPr>
            <w:r>
              <w:t xml:space="preserve">$[TOTAL]</w:t>
            </w:r>
          </w:p>
        </w:tc>
      </w:tr>
      <w:tr>
        <w:tc>
          <w:tcPr/>
          <w:p>
            <w:pPr>
              <w:pStyle w:val="Compact"/>
              <w:jc w:val="left"/>
            </w:pPr>
            <w:r>
              <w:rPr>
                <w:bCs/>
                <w:b/>
              </w:rPr>
              <w:t xml:space="preserve">Payment</w:t>
            </w:r>
          </w:p>
        </w:tc>
        <w:tc>
          <w:tcPr/>
          <w:p>
            <w:pPr>
              <w:pStyle w:val="Compact"/>
              <w:jc w:val="left"/>
            </w:pPr>
            <w:r>
              <w:t xml:space="preserve">Founding: 100% before you ship. Standard: 50% ($[HALF]) on signing, 50% ($[HALF]) at placement confirmation</w:t>
            </w:r>
          </w:p>
        </w:tc>
      </w:tr>
      <w:tr>
        <w:tc>
          <w:tcPr/>
          <w:p>
            <w:pPr>
              <w:pStyle w:val="Compact"/>
              <w:jc w:val="left"/>
            </w:pPr>
            <w:r>
              <w:rPr>
                <w:bCs/>
                <w:b/>
              </w:rPr>
              <w:t xml:space="preserve">Offices and cluster</w:t>
            </w:r>
          </w:p>
        </w:tc>
        <w:tc>
          <w:tcPr/>
          <w:p>
            <w:pPr>
              <w:pStyle w:val="Compact"/>
              <w:jc w:val="left"/>
            </w:pPr>
            <w:r>
              <w:t xml:space="preserve">[5 / 10 / OTHER] offices in [Flatiron, NoMad and Union Square, Manhattan]</w:t>
            </w:r>
          </w:p>
        </w:tc>
      </w:tr>
      <w:tr>
        <w:tc>
          <w:tcPr/>
          <w:p>
            <w:pPr>
              <w:pStyle w:val="Compact"/>
              <w:jc w:val="left"/>
            </w:pPr>
            <w:r>
              <w:rPr>
                <w:bCs/>
                <w:b/>
              </w:rPr>
              <w:t xml:space="preserve">Product</w:t>
            </w:r>
            <w:r>
              <w:t xml:space="preserve"> </w:t>
            </w:r>
            <w:r>
              <w:t xml:space="preserve">(one SKU, or two flavors treated as one)</w:t>
            </w:r>
          </w:p>
        </w:tc>
        <w:tc>
          <w:tcPr/>
          <w:p>
            <w:pPr>
              <w:pStyle w:val="Compact"/>
              <w:jc w:val="left"/>
            </w:pPr>
            <w:r>
              <w:t xml:space="preserve">[PRODUCT, SIZE, FLAVORS]</w:t>
            </w:r>
          </w:p>
        </w:tc>
      </w:tr>
      <w:tr>
        <w:tc>
          <w:tcPr/>
          <w:p>
            <w:pPr>
              <w:pStyle w:val="Compact"/>
              <w:jc w:val="left"/>
            </w:pPr>
            <w:r>
              <w:rPr>
                <w:bCs/>
                <w:b/>
              </w:rPr>
              <w:t xml:space="preserve">Category</w:t>
            </w:r>
            <w:r>
              <w:t xml:space="preserve"> </w:t>
            </w:r>
            <w:r>
              <w:t xml:space="preserve">(no other brand in it joins this drop)</w:t>
            </w:r>
          </w:p>
        </w:tc>
        <w:tc>
          <w:tcPr/>
          <w:p>
            <w:pPr>
              <w:pStyle w:val="Compact"/>
              <w:jc w:val="left"/>
            </w:pPr>
            <w:r>
              <w:t xml:space="preserve">[CATEGORY FROM OUR LIST]</w:t>
            </w:r>
          </w:p>
        </w:tc>
      </w:tr>
      <w:tr>
        <w:tc>
          <w:tcPr/>
          <w:p>
            <w:pPr>
              <w:pStyle w:val="Compact"/>
              <w:jc w:val="left"/>
            </w:pPr>
            <w:r>
              <w:rPr>
                <w:bCs/>
                <w:b/>
              </w:rPr>
              <w:t xml:space="preserve">Units</w:t>
            </w:r>
          </w:p>
        </w:tc>
        <w:tc>
          <w:tcPr/>
          <w:p>
            <w:pPr>
              <w:pStyle w:val="Compact"/>
              <w:jc w:val="left"/>
            </w:pPr>
            <w:r>
              <w:t xml:space="preserve">About 50 per office, set by each office's Tuesday headcount (30 to 80 per office): [UNITS] units, plus 10% reserve of [RESERVE], total [TOTAL UNITS]</w:t>
            </w:r>
          </w:p>
        </w:tc>
      </w:tr>
      <w:tr>
        <w:tc>
          <w:tcPr/>
          <w:p>
            <w:pPr>
              <w:pStyle w:val="Compact"/>
              <w:jc w:val="left"/>
            </w:pPr>
            <w:r>
              <w:rPr>
                <w:bCs/>
                <w:b/>
              </w:rPr>
              <w:t xml:space="preserve">Ship by</w:t>
            </w:r>
            <w:r>
              <w:t xml:space="preserve"> </w:t>
            </w:r>
            <w:r>
              <w:t xml:space="preserve">(T−10)</w:t>
            </w:r>
          </w:p>
        </w:tc>
        <w:tc>
          <w:tcPr/>
          <w:p>
            <w:pPr>
              <w:pStyle w:val="Compact"/>
              <w:jc w:val="left"/>
            </w:pPr>
            <w:r>
              <w:t xml:space="preserve">[DATE], freight prepaid, to [RECEIVING ADDRESS]</w:t>
            </w:r>
          </w:p>
        </w:tc>
      </w:tr>
      <w:tr>
        <w:tc>
          <w:tcPr/>
          <w:p>
            <w:pPr>
              <w:pStyle w:val="Compact"/>
              <w:jc w:val="left"/>
            </w:pPr>
            <w:r>
              <w:rPr>
                <w:bCs/>
                <w:b/>
              </w:rPr>
              <w:t xml:space="preserve">Drop day</w:t>
            </w:r>
            <w:r>
              <w:t xml:space="preserve"> </w:t>
            </w:r>
            <w:r>
              <w:t xml:space="preserve">(T) and</w:t>
            </w:r>
            <w:r>
              <w:t xml:space="preserve"> </w:t>
            </w:r>
            <w:r>
              <w:rPr>
                <w:bCs/>
                <w:b/>
              </w:rPr>
              <w:t xml:space="preserve">window</w:t>
            </w:r>
          </w:p>
        </w:tc>
        <w:tc>
          <w:tcPr/>
          <w:p>
            <w:pPr>
              <w:pStyle w:val="Compact"/>
              <w:jc w:val="left"/>
            </w:pPr>
            <w:r>
              <w:t xml:space="preserve">[TUESDAY OR WEDNESDAY DATE]; window T to T+4, [DATE] to [DATE]</w:t>
            </w:r>
          </w:p>
        </w:tc>
      </w:tr>
      <w:tr>
        <w:tc>
          <w:tcPr/>
          <w:p>
            <w:pPr>
              <w:pStyle w:val="Compact"/>
              <w:jc w:val="left"/>
            </w:pPr>
            <w:r>
              <w:rPr>
                <w:bCs/>
                <w:b/>
              </w:rPr>
              <w:t xml:space="preserve">Report by</w:t>
            </w:r>
            <w:r>
              <w:t xml:space="preserve"> </w:t>
            </w:r>
            <w:r>
              <w:t xml:space="preserve">(T+7) and</w:t>
            </w:r>
            <w:r>
              <w:t xml:space="preserve"> </w:t>
            </w:r>
            <w:r>
              <w:rPr>
                <w:bCs/>
                <w:b/>
              </w:rPr>
              <w:t xml:space="preserve">debrief by</w:t>
            </w:r>
            <w:r>
              <w:t xml:space="preserve"> </w:t>
            </w:r>
            <w:r>
              <w:t xml:space="preserve">(T+10)</w:t>
            </w:r>
          </w:p>
        </w:tc>
        <w:tc>
          <w:tcPr/>
          <w:p>
            <w:pPr>
              <w:pStyle w:val="Compact"/>
              <w:jc w:val="left"/>
            </w:pPr>
            <w:r>
              <w:t xml:space="preserve">[DATE] · [DATE]</w:t>
            </w:r>
          </w:p>
        </w:tc>
      </w:tr>
      <w:tr>
        <w:tc>
          <w:tcPr/>
          <w:p>
            <w:pPr>
              <w:pStyle w:val="Compact"/>
              <w:jc w:val="left"/>
            </w:pPr>
            <w:r>
              <w:rPr>
                <w:bCs/>
                <w:b/>
              </w:rPr>
              <w:t xml:space="preserve">Unused product</w:t>
            </w:r>
            <w:r>
              <w:t xml:space="preserve"> </w:t>
            </w:r>
            <w:r>
              <w:t xml:space="preserve">(your election)</w:t>
            </w:r>
          </w:p>
        </w:tc>
        <w:tc>
          <w:tcPr/>
          <w:p>
            <w:pPr>
              <w:pStyle w:val="Compact"/>
              <w:jc w:val="left"/>
            </w:pPr>
            <w:r>
              <w:t xml:space="preserve">☐ Return to you at your cost ☐ Release to the offices</w:t>
            </w:r>
          </w:p>
        </w:tc>
      </w:tr>
      <w:tr>
        <w:tc>
          <w:tcPr/>
          <w:p>
            <w:pPr>
              <w:pStyle w:val="Compact"/>
              <w:jc w:val="left"/>
            </w:pPr>
            <w:r>
              <w:rPr>
                <w:bCs/>
                <w:b/>
              </w:rPr>
              <w:t xml:space="preserve">For the QR and card</w:t>
            </w:r>
          </w:p>
        </w:tc>
        <w:tc>
          <w:tcPr/>
          <w:p>
            <w:pPr>
              <w:pStyle w:val="Compact"/>
              <w:jc w:val="left"/>
            </w:pPr>
            <w:r>
              <w:t xml:space="preserve">Discount code [CODE] at [SITE], or landing page [URL]; nearest retailer [RETAILER, STREET]</w:t>
            </w:r>
          </w:p>
        </w:tc>
      </w:tr>
      <w:tr>
        <w:tc>
          <w:tcPr/>
          <w:p>
            <w:pPr>
              <w:pStyle w:val="Compact"/>
              <w:jc w:val="left"/>
            </w:pPr>
            <w:r>
              <w:rPr>
                <w:bCs/>
                <w:b/>
              </w:rPr>
              <w:t xml:space="preserve">Optional newsletter sign-up in the survey</w:t>
            </w:r>
          </w:p>
        </w:tc>
        <w:tc>
          <w:tcPr/>
          <w:p>
            <w:pPr>
              <w:pStyle w:val="Compact"/>
              <w:jc w:val="left"/>
            </w:pPr>
            <w:r>
              <w:t xml:space="preserve">☐ Yes, your privacy policy is at [URL] ☐ No</w:t>
            </w:r>
          </w:p>
        </w:tc>
      </w:tr>
    </w:tbl>
    <w:bookmarkEnd w:id="20"/>
    <w:bookmarkStart w:id="21" w:name="part-2--terms"/>
    <w:p>
      <w:pPr>
        <w:pStyle w:val="Heading2"/>
      </w:pPr>
      <w:r>
        <w:t xml:space="preserve">Part 2 · Terms</w:t>
      </w:r>
    </w:p>
    <w:p>
      <w:pPr>
        <w:pStyle w:val="FirstParagraph"/>
      </w:pPr>
      <w:r>
        <w:rPr>
          <w:bCs/>
          <w:b/>
        </w:rPr>
        <w:t xml:space="preserve">1. What we do.</w:t>
      </w:r>
      <w:r>
        <w:t xml:space="preserve"> </w:t>
      </w:r>
      <w:r>
        <w:t xml:space="preserve">We place your product in each office, or have the office place it, within one business day of delivery, at eye level in the pantry the office names, with a display card showing your two sentences, the allergen statement copied word for word from your label (including any "may contain" line), and a QR code unique to that office and campaign. We send you the card text before printing. No other brand in your category (Part 1) is in the same drop. For each office we take a placement photo on the drop day and a later photo on day 3 or day 5, and top up from your reserve where an office runs out. We run a three-question anonymous employee survey. We send you a one-page report by T+7 and hold a 20-minute debrief call by T+10. "T" is the drop day; T−n and T+n count business days (Monday to Friday, not US federal holidays). No drop day or window falls on 18 to 31 December, 18 to 31 August, or the Monday-to-Friday week containing 4 July or its observed holiday (the "blackouts").</w:t>
      </w:r>
    </w:p>
    <w:p>
      <w:pPr>
        <w:pStyle w:val="BodyText"/>
      </w:pPr>
      <w:r>
        <w:rPr>
          <w:bCs/>
          <w:b/>
        </w:rPr>
        <w:t xml:space="preserve">2. What you do.</w:t>
      </w:r>
      <w:r>
        <w:t xml:space="preserve"> </w:t>
      </w:r>
      <w:r>
        <w:t xml:space="preserve">(a) Ship the units and reserve in Part 1, freight prepaid, to arrive by T−5; ship by T−10. (b) Every unit is individually packaged, sealed, shelf-stable, needs no refrigeration, and has at least 60 days of shelf life left on arrival. (c) With or before the shipment, send us: an ingredient and allergen sheet; your logo files and two sentences for the card; the discount code or landing page; and a certificate of insurance showing product liability coverage of at least $1,000,000 per occurrence, with the Company added as an additional insured, kept in force through the end of the window. Product does not ship until the certificate is in hand. (d) Tell us before the drop about any recall or safety issue with the product.</w:t>
      </w:r>
    </w:p>
    <w:p>
      <w:pPr>
        <w:pStyle w:val="BodyText"/>
      </w:pPr>
      <w:r>
        <w:rPr>
          <w:bCs/>
          <w:b/>
        </w:rPr>
        <w:t xml:space="preserve">3. Price and payment.</w:t>
      </w:r>
      <w:r>
        <w:t xml:space="preserve"> </w:t>
      </w:r>
      <w:r>
        <w:t xml:space="preserve">The price and payment terms are in Part 1. We invoice for payment by bank transfer. Payment due before shipping (the founding price, or the first standard payment) must reach us before we confirm your ship date. The second standard payment is due within seven days of our placement confirmation, which is the email sending you every office's placement photo; we may hold the report until it arrives. Prices do not include sales tax; if tax applies, it is shown on the invoice.</w:t>
      </w:r>
      <w:r>
        <w:t xml:space="preserve"> </w:t>
      </w:r>
      <w:r>
        <w:rPr>
          <w:bCs/>
          <w:b/>
        </w:rPr>
        <w:t xml:space="preserve">Founding tier only:</w:t>
      </w:r>
      <w:r>
        <w:t xml:space="preserve"> </w:t>
      </w:r>
      <w:r>
        <w:t xml:space="preserve">your next two campaigns with us are priced at $120 per office, paid in full before you ship. If we deliver everything in section 1, you will, within 30 days after the debrief, give us a short written statement of your honest experience, and allow us to publish it with your brand name together with a case study drawn from your report. When we publish them, we will say you were a founding brand at a founding price.</w:t>
      </w:r>
    </w:p>
    <w:p>
      <w:pPr>
        <w:pStyle w:val="BodyText"/>
      </w:pPr>
      <w:r>
        <w:rPr>
          <w:bCs/>
          <w:b/>
        </w:rPr>
        <w:t xml:space="preserve">4. No guarantee of results.</w:t>
      </w:r>
      <w:r>
        <w:t xml:space="preserve"> </w:t>
      </w:r>
      <w:r>
        <w:t xml:space="preserve">We do not guarantee sales, purchases, scans, survey responses or any other result. The report states what we observed, kept separate: units delivered, placed and depleted; survey responses; QR scans; and code redemptions you report to us. Incremental sales are not measured, and the report says so.</w:t>
      </w:r>
    </w:p>
    <w:p>
      <w:pPr>
        <w:pStyle w:val="BodyText"/>
      </w:pPr>
      <w:r>
        <w:rPr>
          <w:bCs/>
          <w:b/>
        </w:rPr>
        <w:t xml:space="preserve">5. Your promises about the product.</w:t>
      </w:r>
      <w:r>
        <w:t xml:space="preserve"> </w:t>
      </w:r>
      <w:r>
        <w:t xml:space="preserve">You promise that the product is safe; that its label complies with federal and state labeling law, including the declaration of the nine major food allergens; that it is within its shelf life; and that you have the right to let us use the logo and words you give us. We keep every unit in its original sealed retail package: we never open, alter, relabel or repack a unit, and we put nothing on it. We may move sealed units between shipping cartons to make up each office's count. We store sealed cases at room temperature, clean, dry, off the floor and away from heat, and we record best-by dates and lot numbers on arrival. We do not place a unit that arrives damaged or with less than 60 days of shelf life; we photograph it, send you the counts, and return it at your cost or dispose of it, as you tell us. If anyone reports a problem with the product, we remove it from that office and tell you the same day. If you ask us to pull the product (for example, for a recall), we remove it from every office within one business day.</w:t>
      </w:r>
    </w:p>
    <w:p>
      <w:pPr>
        <w:pStyle w:val="BodyText"/>
      </w:pPr>
      <w:r>
        <w:rPr>
          <w:bCs/>
          <w:b/>
        </w:rPr>
        <w:t xml:space="preserve">6. Product claims.</w:t>
      </w:r>
      <w:r>
        <w:t xml:space="preserve"> </w:t>
      </w:r>
      <w:r>
        <w:t xml:space="preserve">You will defend us against any claim by anyone else arising from the product, and pay any resulting settlement, judgment and reasonable lawyers' fees, except to the extent the claim is caused by our mishandling of the product. We will tell you promptly about any claim and help you respond to it.</w:t>
      </w:r>
    </w:p>
    <w:p>
      <w:pPr>
        <w:pStyle w:val="BodyText"/>
      </w:pPr>
      <w:r>
        <w:rPr>
          <w:bCs/>
          <w:b/>
        </w:rPr>
        <w:t xml:space="preserve">7. Limit on our liability.</w:t>
      </w:r>
      <w:r>
        <w:t xml:space="preserve"> </w:t>
      </w:r>
      <w:r>
        <w:t xml:space="preserve">Our total liability to you for anything to do with this agreement is limited to the fees you paid us for this campaign.</w:t>
      </w:r>
    </w:p>
    <w:p>
      <w:pPr>
        <w:pStyle w:val="BodyText"/>
      </w:pPr>
      <w:r>
        <w:rPr>
          <w:bCs/>
          <w:b/>
        </w:rPr>
        <w:t xml:space="preserve">8. Cancellation and slips.</w:t>
      </w:r>
      <w:r>
        <w:t xml:space="preserve"> </w:t>
      </w:r>
      <w:r>
        <w:t xml:space="preserve">You may cancel by email. If you cancel before T−10, we refund everything you paid, less $100 for setup work already done. If you cancel on or after T−10, we keep 50% of the campaign price, because by then we have held the drop day with every office, prepared the cards and turned away other brands in your category; we refund anything you paid above that, and you owe nothing more. If your product has not arrived by T−3, we move the drop one week at no charge and tell every office the same day; if the new date falls in a blackout, it moves to the next Tuesday or Wednesday after it. If the product misses the new date's T−3 too, either of us may treat the campaign as cancelled by you on or after T−10. If weather, illness, a building closure or anything else outside our control stops a drop, we move it to the next open Tuesday or Wednesday and tell you the same day. If we cancel, we refund everything you paid. If an office leaves or declines your product and we cannot replace it with another roster office before the drop, we refund that office's share ($120 founding, $150 standard).</w:t>
      </w:r>
    </w:p>
    <w:p>
      <w:pPr>
        <w:pStyle w:val="BodyText"/>
      </w:pPr>
      <w:r>
        <w:rPr>
          <w:bCs/>
          <w:b/>
        </w:rPr>
        <w:t xml:space="preserve">9. Unused product.</w:t>
      </w:r>
      <w:r>
        <w:t xml:space="preserve"> </w:t>
      </w:r>
      <w:r>
        <w:t xml:space="preserve">At the end of the window, leftover and unused reserve units are returned to you at your cost or released to the offices, as you chose in Part 1. If you chose return and have not sent a prepaid return label within ten business days after the window closes, we release them to the offices.</w:t>
      </w:r>
    </w:p>
    <w:p>
      <w:pPr>
        <w:pStyle w:val="BodyText"/>
      </w:pPr>
      <w:r>
        <w:rPr>
          <w:bCs/>
          <w:b/>
        </w:rPr>
        <w:t xml:space="preserve">10. Photos, results and your report.</w:t>
      </w:r>
      <w:r>
        <w:t xml:space="preserve"> </w:t>
      </w:r>
      <w:r>
        <w:t xml:space="preserve">We may use placement photos, which never show identifiable people, and survey results that identify no person or office, in our own materials; we do not identify an office there unless it agreed to be named. You may use the report for your own business, but do not publish an office's name, or a photo that identifies an office, unless we confirm that office agreed. You let us use your name, logo and card sentences on the display card and in the report.</w:t>
      </w:r>
    </w:p>
    <w:p>
      <w:pPr>
        <w:pStyle w:val="BodyText"/>
      </w:pPr>
      <w:r>
        <w:rPr>
          <w:bCs/>
          <w:b/>
        </w:rPr>
        <w:t xml:space="preserve">11. Our offices stay ours to introduce.</w:t>
      </w:r>
      <w:r>
        <w:t xml:space="preserve"> </w:t>
      </w:r>
      <w:r>
        <w:t xml:space="preserve">For six months after the window closes, you will not approach any office we named to you for this campaign to arrange placements or sampling with it directly. This does not limit ordinary retail or online sales, general advertising, or replying to an office that contacts you on its own.</w:t>
      </w:r>
    </w:p>
    <w:p>
      <w:pPr>
        <w:pStyle w:val="BodyText"/>
      </w:pPr>
      <w:r>
        <w:rPr>
          <w:bCs/>
          <w:b/>
        </w:rPr>
        <w:t xml:space="preserve">12. Confidentiality and employee data.</w:t>
      </w:r>
      <w:r>
        <w:t xml:space="preserve"> </w:t>
      </w:r>
      <w:r>
        <w:t xml:space="preserve">Before you sign, we describe offices only by neighborhood, industry and Tuesday headcount, and name only offices that agreed to be named. After you sign, we share office names and addresses only as needed to run this campaign. Until two years after the window closes, you will keep them confidential and use them only for this campaign. We keep any sales or redemption numbers you share confidential, except in your report and, for a founding brand, the case study. We collect no personal data about office employees and will not ask offices for any. The only exception: if you chose the newsletter option in Part 1, an employee may tick an unticked box to share an email address with you; we pass those addresses to you once, as a list separate from survey answers, and from then on your privacy policy governs them.</w:t>
      </w:r>
    </w:p>
    <w:p>
      <w:pPr>
        <w:pStyle w:val="BodyText"/>
      </w:pPr>
      <w:r>
        <w:rPr>
          <w:bCs/>
          <w:b/>
        </w:rPr>
        <w:t xml:space="preserve">13. If the Company is not yet formed.</w:t>
      </w:r>
      <w:r>
        <w:t xml:space="preserve"> </w:t>
      </w:r>
      <w:r>
        <w:t xml:space="preserve">If the Company has not been formed when this is signed, [FOUNDER NAME] signs for it in advance. Once formed, the Company takes over this agreement in [FOUNDER NAME]'s place, and you agree to that now. We will not invoice you until the Company is formed.</w:t>
      </w:r>
    </w:p>
    <w:p>
      <w:pPr>
        <w:pStyle w:val="BodyText"/>
      </w:pPr>
      <w:r>
        <w:rPr>
          <w:bCs/>
          <w:b/>
        </w:rPr>
        <w:t xml:space="preserve">14. The rest.</w:t>
      </w:r>
      <w:r>
        <w:t xml:space="preserve"> </w:t>
      </w:r>
      <w:r>
        <w:t xml:space="preserve">This agreement (Parts 1 and 2) is the whole agreement for this campaign. Changes need an email from each side. Notices go to the email addresses in Part 1 and our signature block. Each of us runs its own business; neither is the other's agent or employee. New York law applies. Sections 3, 6, 7, 9, 10, 11 and 12 continue after the campaign ends. Electronic signatures count. The person signing for you can approve this spend for the brand.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 the brand</w:t>
            </w:r>
          </w:p>
        </w:tc>
        <w:tc>
          <w:tcPr/>
          <w:p>
            <w:pPr>
              <w:pStyle w:val="Compact"/>
              <w:jc w:val="left"/>
            </w:pPr>
            <w:r>
              <w:t xml:space="preserve">For the Company</w:t>
            </w:r>
          </w:p>
        </w:tc>
      </w:tr>
      <w:tr>
        <w:tc>
          <w:tcPr/>
          <w:p>
            <w:pPr>
              <w:pStyle w:val="Compact"/>
              <w:jc w:val="left"/>
            </w:pPr>
            <w:r>
              <w:t xml:space="preserve">Signature: ____________________ Date: ________</w:t>
            </w:r>
          </w:p>
        </w:tc>
        <w:tc>
          <w:tcPr/>
          <w:p>
            <w:pPr>
              <w:pStyle w:val="Compact"/>
              <w:jc w:val="left"/>
            </w:pPr>
            <w:r>
              <w:t xml:space="preserve">Signature: ____________________ Date: ________</w:t>
            </w:r>
          </w:p>
        </w:tc>
      </w:tr>
      <w:tr>
        <w:tc>
          <w:tcPr/>
          <w:p>
            <w:pPr>
              <w:pStyle w:val="Compact"/>
              <w:jc w:val="left"/>
            </w:pPr>
            <w:r>
              <w:t xml:space="preserve">[NAME], [TITLE]</w:t>
            </w:r>
          </w:p>
        </w:tc>
        <w:tc>
          <w:tcPr/>
          <w:p>
            <w:pPr>
              <w:pStyle w:val="Compact"/>
              <w:jc w:val="left"/>
            </w:pPr>
            <w:r>
              <w:t xml:space="preserve">[FOUNDER NAME], Member · [PHONE] · [EMAIL]</w:t>
            </w:r>
          </w:p>
        </w:tc>
      </w:tr>
    </w:tbl>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2026-10-24T00:01:19Z</dcterms:created>
  <dcterms:modified xsi:type="dcterms:W3CDTF">2026-10-24T00:01:19Z</dcterms:modified>
</cp:coreProperties>
</file>

<file path=docProps/custom.xml><?xml version="1.0" encoding="utf-8"?>
<Properties xmlns="http://schemas.openxmlformats.org/officeDocument/2006/custom-properties" xmlns:vt="http://schemas.openxmlformats.org/officeDocument/2006/docPropsVTypes"/>
</file>