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b/>
          <w:bCs/>
          <w:color w:val="353535"/>
          <w:sz w:val="36"/>
          <w:szCs w:val="36"/>
          <w:lang w:val="en-US" w:eastAsia="zh-CN"/>
        </w:rPr>
      </w:pPr>
      <w:r>
        <w:rPr>
          <w:rFonts w:hint="eastAsia" w:ascii="微软雅黑" w:hAnsi="微软雅黑" w:eastAsia="微软雅黑" w:cs="微软雅黑"/>
          <w:b/>
          <w:bCs/>
          <w:color w:val="353535"/>
          <w:sz w:val="36"/>
          <w:szCs w:val="36"/>
          <w:lang w:val="en-US" w:eastAsia="zh-CN"/>
        </w:rPr>
        <w:t>特邀报告</w:t>
      </w:r>
      <w:bookmarkStart w:id="0" w:name="_GoBack"/>
      <w:bookmarkEnd w:id="0"/>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1440180" cy="14401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t="8413" b="8413"/>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lang w:val="en-US" w:eastAsia="zh-CN"/>
        </w:rPr>
      </w:pPr>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color w:val="353535"/>
          <w:sz w:val="21"/>
          <w:szCs w:val="21"/>
        </w:rPr>
      </w:pPr>
      <w:r>
        <w:rPr>
          <w:rFonts w:hint="eastAsia" w:ascii="微软雅黑" w:hAnsi="微软雅黑" w:eastAsia="微软雅黑" w:cs="微软雅黑"/>
          <w:b/>
          <w:bCs/>
          <w:color w:val="353535"/>
          <w:sz w:val="21"/>
          <w:szCs w:val="21"/>
          <w:lang w:val="en-US" w:eastAsia="zh-CN"/>
        </w:rPr>
        <w:t xml:space="preserve">吴琼  </w:t>
      </w:r>
      <w:r>
        <w:rPr>
          <w:rFonts w:hint="eastAsia" w:ascii="微软雅黑" w:hAnsi="微软雅黑" w:eastAsia="微软雅黑" w:cs="微软雅黑"/>
          <w:color w:val="353535"/>
          <w:sz w:val="21"/>
          <w:szCs w:val="21"/>
        </w:rPr>
        <w:t>清华大学</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ind w:firstLine="400" w:firstLineChars="200"/>
        <w:textAlignment w:val="auto"/>
        <w:rPr>
          <w:rFonts w:hint="eastAsia" w:ascii="楷体" w:hAnsi="楷体" w:eastAsia="楷体" w:cs="楷体"/>
          <w:color w:val="353535"/>
          <w:sz w:val="20"/>
          <w:szCs w:val="20"/>
        </w:rPr>
      </w:pPr>
      <w:r>
        <w:rPr>
          <w:rFonts w:hint="eastAsia" w:ascii="楷体" w:hAnsi="楷体" w:eastAsia="楷体" w:cs="楷体"/>
          <w:color w:val="353535"/>
          <w:sz w:val="20"/>
          <w:szCs w:val="20"/>
        </w:rPr>
        <w:t>清华大学长聘副教授、博士生导师。现任清华大学艺科中心-伦敦玛丽女王学院联合创新人工智能实验室主任，清华大学国家形象传播研究中心信息设计研究室主任，Journal of Heliyon，Elsevier杂志编委，中国工业设计协会信息与交互设计专家委员，北京市高等教育学会艺术教育研究分会理事等；在智能信息服务设计、大数据可视化与应用设计方向上有深入的研究和实践。发表三十余篇国际会议、核心期刊论文；二十余件设计作品入选包括奥地利林茨电子艺术节，艺术与科学国际作品展，全国美展等国内外重要展览；作为负责人或主要完成人承担了包括国家重点基础研发计划（973计划），国家社科基金艺术学项目，国家科技支撑计划，教育部重大专项，文化部艺术研究项目，北京市哲学社会科学项目等十六项省部级以上纵向研究项目，完成中央党校</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中国大百科全书</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中国银行</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故宫博物院</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中国科协</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华为</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英特尔</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西门子</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LG</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波音</w:t>
      </w:r>
      <w:r>
        <w:rPr>
          <w:rFonts w:hint="eastAsia" w:ascii="楷体" w:hAnsi="楷体" w:eastAsia="楷体" w:cs="楷体"/>
          <w:color w:val="353535"/>
          <w:sz w:val="20"/>
          <w:szCs w:val="20"/>
          <w:lang w:eastAsia="zh-CN"/>
        </w:rPr>
        <w:t>、</w:t>
      </w:r>
      <w:r>
        <w:rPr>
          <w:rFonts w:hint="eastAsia" w:ascii="楷体" w:hAnsi="楷体" w:eastAsia="楷体" w:cs="楷体"/>
          <w:color w:val="353535"/>
          <w:sz w:val="20"/>
          <w:szCs w:val="20"/>
        </w:rPr>
        <w:t>诺基亚等四十余项国际知名企事业单位委托的信息与交互设计服务项目。</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报告</w:t>
      </w:r>
      <w:r>
        <w:rPr>
          <w:rFonts w:hint="eastAsia" w:ascii="微软雅黑" w:hAnsi="微软雅黑" w:eastAsia="微软雅黑" w:cs="微软雅黑"/>
          <w:b/>
          <w:bCs/>
          <w:color w:val="353535"/>
          <w:sz w:val="21"/>
          <w:szCs w:val="21"/>
        </w:rPr>
        <w:t>题目：</w:t>
      </w:r>
      <w:r>
        <w:rPr>
          <w:rFonts w:hint="eastAsia" w:ascii="微软雅黑" w:hAnsi="微软雅黑" w:eastAsia="微软雅黑" w:cs="微软雅黑"/>
          <w:b/>
          <w:bCs/>
          <w:color w:val="353535"/>
          <w:sz w:val="21"/>
          <w:szCs w:val="21"/>
        </w:rPr>
        <w:t>可视的与可感知的体验</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color w:val="353535"/>
          <w:sz w:val="21"/>
          <w:szCs w:val="21"/>
        </w:rPr>
      </w:pPr>
      <w:r>
        <w:rPr>
          <w:rFonts w:hint="eastAsia" w:ascii="微软雅黑" w:hAnsi="微软雅黑" w:eastAsia="微软雅黑" w:cs="微软雅黑"/>
          <w:b/>
          <w:bCs/>
          <w:color w:val="353535"/>
          <w:sz w:val="21"/>
          <w:szCs w:val="21"/>
          <w:lang w:val="en-US" w:eastAsia="zh-CN"/>
        </w:rPr>
        <w:t>报告时间：</w:t>
      </w:r>
      <w:r>
        <w:rPr>
          <w:rFonts w:hint="eastAsia" w:ascii="微软雅黑" w:hAnsi="微软雅黑" w:eastAsia="微软雅黑" w:cs="微软雅黑"/>
          <w:b/>
          <w:bCs/>
          <w:color w:val="353535"/>
          <w:sz w:val="21"/>
          <w:szCs w:val="21"/>
          <w:lang w:val="en-US" w:eastAsia="zh-CN"/>
        </w:rPr>
        <w:t>2020年11月1日 13:45-14:30</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b/>
          <w:bCs/>
          <w:color w:val="353535"/>
          <w:sz w:val="36"/>
          <w:szCs w:val="36"/>
          <w:lang w:val="en-US" w:eastAsia="zh-CN"/>
        </w:rPr>
      </w:pPr>
      <w:r>
        <w:rPr>
          <w:rFonts w:hint="eastAsia" w:ascii="微软雅黑" w:hAnsi="微软雅黑" w:eastAsia="微软雅黑" w:cs="微软雅黑"/>
          <w:b/>
          <w:bCs/>
          <w:color w:val="353535"/>
          <w:sz w:val="21"/>
          <w:szCs w:val="21"/>
          <w:lang w:val="en-US" w:eastAsia="zh-CN"/>
        </w:rPr>
        <w:t>报告</w:t>
      </w:r>
      <w:r>
        <w:rPr>
          <w:rFonts w:hint="eastAsia" w:ascii="微软雅黑" w:hAnsi="微软雅黑" w:eastAsia="微软雅黑" w:cs="微软雅黑"/>
          <w:b/>
          <w:bCs/>
          <w:color w:val="353535"/>
          <w:sz w:val="21"/>
          <w:szCs w:val="21"/>
        </w:rPr>
        <w:t>摘要：</w:t>
      </w:r>
      <w:r>
        <w:rPr>
          <w:rFonts w:hint="eastAsia" w:ascii="微软雅黑" w:hAnsi="微软雅黑" w:eastAsia="微软雅黑" w:cs="微软雅黑"/>
          <w:color w:val="353535"/>
          <w:sz w:val="21"/>
          <w:szCs w:val="21"/>
        </w:rPr>
        <w:t>作为一种数据、信息表达与分析的工具，信息可视化也是交互设计中的重要内容和方法。当前，计算无处不在，交互早已超越了传统的二维平面，多通道交互、实体交互的研究与实践越来越受到关注，报告将探讨如何运用可视化的手段与方法进行新交互的设计，如何整合可视的与可感知的设计提供新的体验。</w:t>
      </w:r>
    </w:p>
    <w:p>
      <w:pPr>
        <w:keepNext w:val="0"/>
        <w:keepLines w:val="0"/>
        <w:pageBreakBefore w:val="0"/>
        <w:widowControl/>
        <w:kinsoku/>
        <w:wordWrap/>
        <w:overflowPunct/>
        <w:topLinePunct w:val="0"/>
        <w:autoSpaceDE w:val="0"/>
        <w:autoSpaceDN w:val="0"/>
        <w:bidi w:val="0"/>
        <w:adjustRightInd w:val="0"/>
        <w:snapToGrid w:val="0"/>
        <w:jc w:val="both"/>
        <w:textAlignment w:val="auto"/>
        <w:rPr>
          <w:rFonts w:hint="eastAsia" w:ascii="微软雅黑" w:hAnsi="微软雅黑" w:eastAsia="微软雅黑" w:cs="微软雅黑"/>
          <w:b/>
          <w:bCs/>
          <w:color w:val="353535"/>
          <w:sz w:val="36"/>
          <w:szCs w:val="36"/>
          <w:lang w:val="en-US" w:eastAsia="zh-CN"/>
        </w:rPr>
      </w:pPr>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color w:val="353535"/>
          <w:sz w:val="21"/>
          <w:szCs w:val="21"/>
          <w:lang w:val="en-US" w:eastAsia="zh-CN"/>
        </w:rPr>
      </w:pPr>
      <w:r>
        <w:rPr>
          <w:rFonts w:hint="eastAsia" w:ascii="微软雅黑" w:hAnsi="微软雅黑" w:eastAsia="微软雅黑" w:cs="微软雅黑"/>
          <w:color w:val="353535"/>
          <w:sz w:val="21"/>
          <w:szCs w:val="21"/>
          <w:lang w:val="en-US" w:eastAsia="zh-CN"/>
        </w:rPr>
        <w:drawing>
          <wp:inline distT="0" distB="0" distL="114300" distR="114300">
            <wp:extent cx="1440180" cy="1440180"/>
            <wp:effectExtent l="0" t="0" r="7620" b="7620"/>
            <wp:docPr id="2" name="图片 2" descr="Nathalie Miebach-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athalie Miebach-01"/>
                    <pic:cNvPicPr>
                      <a:picLocks noChangeAspect="1"/>
                    </pic:cNvPicPr>
                  </pic:nvPicPr>
                  <pic:blipFill>
                    <a:blip r:embed="rId5"/>
                    <a:srcRect l="10861" t="6255" r="6685" b="6834"/>
                    <a:stretch>
                      <a:fillRect/>
                    </a:stretch>
                  </pic:blipFill>
                  <pic:spPr>
                    <a:xfrm>
                      <a:off x="0" y="0"/>
                      <a:ext cx="1440180" cy="1440180"/>
                    </a:xfrm>
                    <a:prstGeom prst="ellipse">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color w:val="353535"/>
          <w:sz w:val="21"/>
          <w:szCs w:val="21"/>
          <w:lang w:val="en-US" w:eastAsia="zh-CN"/>
        </w:rPr>
      </w:pPr>
    </w:p>
    <w:p>
      <w:pPr>
        <w:keepNext w:val="0"/>
        <w:keepLines w:val="0"/>
        <w:pageBreakBefore w:val="0"/>
        <w:widowControl/>
        <w:kinsoku/>
        <w:wordWrap/>
        <w:overflowPunct/>
        <w:topLinePunct w:val="0"/>
        <w:autoSpaceDE w:val="0"/>
        <w:autoSpaceDN w:val="0"/>
        <w:bidi w:val="0"/>
        <w:adjustRightInd w:val="0"/>
        <w:snapToGrid w:val="0"/>
        <w:jc w:val="center"/>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rPr>
        <w:t>Nathalie Miebach</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楷体" w:hAnsi="楷体" w:eastAsia="楷体" w:cs="楷体"/>
          <w:color w:val="353535"/>
          <w:sz w:val="20"/>
          <w:szCs w:val="20"/>
        </w:rPr>
      </w:pPr>
    </w:p>
    <w:p>
      <w:pPr>
        <w:keepNext w:val="0"/>
        <w:keepLines w:val="0"/>
        <w:pageBreakBefore w:val="0"/>
        <w:widowControl/>
        <w:kinsoku/>
        <w:wordWrap/>
        <w:overflowPunct/>
        <w:topLinePunct w:val="0"/>
        <w:autoSpaceDE w:val="0"/>
        <w:autoSpaceDN w:val="0"/>
        <w:bidi w:val="0"/>
        <w:adjustRightInd w:val="0"/>
        <w:snapToGrid w:val="0"/>
        <w:ind w:firstLine="400" w:firstLineChars="200"/>
        <w:textAlignment w:val="auto"/>
        <w:rPr>
          <w:rFonts w:hint="eastAsia" w:ascii="楷体" w:hAnsi="楷体" w:eastAsia="楷体" w:cs="楷体"/>
          <w:color w:val="353535"/>
          <w:sz w:val="20"/>
          <w:szCs w:val="20"/>
        </w:rPr>
      </w:pPr>
      <w:r>
        <w:rPr>
          <w:rFonts w:hint="eastAsia" w:ascii="楷体" w:hAnsi="楷体" w:eastAsia="楷体" w:cs="楷体"/>
          <w:color w:val="353535"/>
          <w:sz w:val="20"/>
          <w:szCs w:val="20"/>
        </w:rPr>
        <w:t>Nathalie Miebach的作品致力于探索艺术与科学的融合。她用丰富的视觉形式，表达出了严谨的科学观察。她的雕塑作品以编织的形式，将天文学、生态学和气象学有关的科学数据呈现在三维空间中。她还将气象变化的数据转化成了乐谱，以听觉的形式展现数据。作为TED Global 2011年研究员，Mieba</w:t>
      </w:r>
      <w:r>
        <w:rPr>
          <w:rFonts w:hint="eastAsia" w:ascii="楷体" w:hAnsi="楷体" w:eastAsia="楷体" w:cs="楷体"/>
          <w:color w:val="353535"/>
          <w:sz w:val="20"/>
          <w:szCs w:val="20"/>
          <w:lang w:val="en-US" w:eastAsia="zh-CN"/>
        </w:rPr>
        <w:t>ch</w:t>
      </w:r>
      <w:r>
        <w:rPr>
          <w:rFonts w:hint="eastAsia" w:ascii="楷体" w:hAnsi="楷体" w:eastAsia="楷体" w:cs="楷体"/>
          <w:color w:val="353535"/>
          <w:sz w:val="20"/>
          <w:szCs w:val="20"/>
        </w:rPr>
        <w:t>不断研究创作的形式和材料，继续质疑和挑战传统数据可视化作品的边界,向人们展示了数据可视化艺术的无限未来。</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color w:val="353535"/>
          <w:sz w:val="21"/>
          <w:szCs w:val="21"/>
        </w:rPr>
      </w:pP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b/>
          <w:bCs/>
          <w:color w:val="353535"/>
          <w:sz w:val="21"/>
          <w:szCs w:val="21"/>
        </w:rPr>
      </w:pPr>
      <w:r>
        <w:rPr>
          <w:rFonts w:hint="eastAsia" w:ascii="微软雅黑" w:hAnsi="微软雅黑" w:eastAsia="微软雅黑" w:cs="微软雅黑"/>
          <w:b/>
          <w:bCs/>
          <w:color w:val="353535"/>
          <w:sz w:val="21"/>
          <w:szCs w:val="21"/>
          <w:lang w:val="en-US" w:eastAsia="zh-CN"/>
        </w:rPr>
        <w:t>报告</w:t>
      </w:r>
      <w:r>
        <w:rPr>
          <w:rFonts w:hint="eastAsia" w:ascii="微软雅黑" w:hAnsi="微软雅黑" w:eastAsia="微软雅黑" w:cs="微软雅黑"/>
          <w:b/>
          <w:bCs/>
          <w:color w:val="353535"/>
          <w:sz w:val="21"/>
          <w:szCs w:val="21"/>
        </w:rPr>
        <w:t>题目：</w:t>
      </w:r>
    </w:p>
    <w:p>
      <w:pPr>
        <w:keepNext w:val="0"/>
        <w:keepLines w:val="0"/>
        <w:pageBreakBefore w:val="0"/>
        <w:widowControl/>
        <w:kinsoku/>
        <w:wordWrap/>
        <w:overflowPunct/>
        <w:topLinePunct w:val="0"/>
        <w:autoSpaceDE w:val="0"/>
        <w:autoSpaceDN w:val="0"/>
        <w:bidi w:val="0"/>
        <w:adjustRightInd w:val="0"/>
        <w:snapToGrid w:val="0"/>
        <w:textAlignment w:val="auto"/>
        <w:rPr>
          <w:rFonts w:hint="eastAsia" w:ascii="微软雅黑" w:hAnsi="微软雅黑" w:eastAsia="微软雅黑" w:cs="微软雅黑"/>
          <w:color w:val="353535"/>
          <w:sz w:val="21"/>
          <w:szCs w:val="21"/>
        </w:rPr>
      </w:pPr>
      <w:r>
        <w:rPr>
          <w:rFonts w:hint="eastAsia" w:ascii="微软雅黑" w:hAnsi="微软雅黑" w:eastAsia="微软雅黑" w:cs="微软雅黑"/>
          <w:b/>
          <w:bCs/>
          <w:color w:val="353535"/>
          <w:sz w:val="21"/>
          <w:szCs w:val="21"/>
          <w:lang w:val="en-US" w:eastAsia="zh-CN"/>
        </w:rPr>
        <w:t>报告时间：2020年11月3日 09:40-10:20</w:t>
      </w:r>
    </w:p>
    <w:p>
      <w:pPr>
        <w:keepNext w:val="0"/>
        <w:keepLines w:val="0"/>
        <w:pageBreakBefore w:val="0"/>
        <w:widowControl/>
        <w:kinsoku/>
        <w:wordWrap/>
        <w:overflowPunct/>
        <w:topLinePunct w:val="0"/>
        <w:bidi w:val="0"/>
        <w:snapToGrid w:val="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color w:val="353535"/>
          <w:sz w:val="21"/>
          <w:szCs w:val="21"/>
          <w:lang w:val="en-US" w:eastAsia="zh-CN"/>
        </w:rPr>
        <w:t>报告</w:t>
      </w:r>
      <w:r>
        <w:rPr>
          <w:rFonts w:hint="eastAsia" w:ascii="微软雅黑" w:hAnsi="微软雅黑" w:eastAsia="微软雅黑" w:cs="微软雅黑"/>
          <w:b/>
          <w:bCs/>
          <w:color w:val="353535"/>
          <w:sz w:val="21"/>
          <w:szCs w:val="21"/>
        </w:rPr>
        <w:t>摘要：</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panose1 w:val="020B0604020202030204"/>
    <w:charset w:val="00"/>
    <w:family w:val="auto"/>
    <w:pitch w:val="default"/>
    <w:sig w:usb0="00000000" w:usb1="00000000" w:usb2="00000000" w:usb3="00000000" w:csb0="00000093" w:csb1="00000000"/>
  </w:font>
  <w:font w:name="优设标题黑">
    <w:panose1 w:val="00000500000000000000"/>
    <w:charset w:val="86"/>
    <w:family w:val="auto"/>
    <w:pitch w:val="default"/>
    <w:sig w:usb0="00000001" w:usb1="00000000" w:usb2="00000016"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33"/>
    <w:rsid w:val="00071B59"/>
    <w:rsid w:val="000A2933"/>
    <w:rsid w:val="001E3908"/>
    <w:rsid w:val="00593C59"/>
    <w:rsid w:val="007D439E"/>
    <w:rsid w:val="00A54C23"/>
    <w:rsid w:val="00B33CB3"/>
    <w:rsid w:val="00F7391D"/>
    <w:rsid w:val="072220AF"/>
    <w:rsid w:val="140C777B"/>
    <w:rsid w:val="1CBB4130"/>
    <w:rsid w:val="1EED743C"/>
    <w:rsid w:val="219A537D"/>
    <w:rsid w:val="26A327E7"/>
    <w:rsid w:val="298061D3"/>
    <w:rsid w:val="2A8D5E03"/>
    <w:rsid w:val="2D642589"/>
    <w:rsid w:val="36495089"/>
    <w:rsid w:val="632A4F96"/>
    <w:rsid w:val="76E33AC3"/>
    <w:rsid w:val="77A45A06"/>
    <w:rsid w:val="77AC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846</Words>
  <Characters>4828</Characters>
  <Lines>40</Lines>
  <Paragraphs>11</Paragraphs>
  <TotalTime>6</TotalTime>
  <ScaleCrop>false</ScaleCrop>
  <LinksUpToDate>false</LinksUpToDate>
  <CharactersWithSpaces>5663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2019-07-12T13:48:00Z</dcterms:created>
  <dc:creator>SEN</dc:creator>
  <cp:lastModifiedBy>jojo</cp:lastModifiedBy>
  <dcterms:modified xsi:type="dcterms:W3CDTF">2020-10-16T07:12:29Z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