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google-ads-api-tool-design-document"/>
    <w:p>
      <w:pPr>
        <w:pStyle w:val="Heading1"/>
      </w:pPr>
      <w:r>
        <w:t xml:space="preserve">Google Ads API Tool Design Document</w:t>
      </w:r>
    </w:p>
    <w:bookmarkStart w:id="9" w:name="organization"/>
    <w:p>
      <w:pPr>
        <w:pStyle w:val="Heading2"/>
      </w:pPr>
      <w:r>
        <w:t xml:space="preserve">Organization</w:t>
      </w:r>
    </w:p>
    <w:p>
      <w:pPr>
        <w:pStyle w:val="FirstParagraph"/>
      </w:pPr>
      <w:r>
        <w:rPr>
          <w:b/>
          <w:bCs/>
        </w:rPr>
        <w:t xml:space="preserve">Company Name:</w:t>
      </w:r>
      <w:r>
        <w:t xml:space="preserve"> </w:t>
      </w:r>
      <w:r>
        <w:t xml:space="preserve">Flat Earth Equipment</w:t>
      </w:r>
      <w:r>
        <w:br/>
      </w:r>
      <w:r>
        <w:rPr>
          <w:b/>
          <w:bCs/>
        </w:rPr>
        <w:t xml:space="preserve">Contact Email:</w:t>
      </w:r>
      <w:r>
        <w:t xml:space="preserve"> </w:t>
      </w:r>
      <w:r>
        <w:t xml:space="preserve">flatearthequip@gmail.com</w:t>
      </w:r>
      <w:r>
        <w:br/>
      </w:r>
      <w:r>
        <w:rPr>
          <w:b/>
          <w:bCs/>
        </w:rPr>
        <w:t xml:space="preserve">MCC Account ID:</w:t>
      </w:r>
      <w:r>
        <w:t xml:space="preserve"> </w:t>
      </w:r>
      <w:r>
        <w:t xml:space="preserve">662-156-1929</w:t>
      </w:r>
    </w:p>
    <w:p>
      <w:r>
        <w:pict>
          <v:rect style="width:0;height:1.5pt" o:hralign="center" o:hrstd="t" o:hr="t"/>
        </w:pict>
      </w:r>
    </w:p>
    <w:bookmarkEnd w:id="9"/>
    <w:bookmarkStart w:id="12" w:name="tool-overview"/>
    <w:p>
      <w:pPr>
        <w:pStyle w:val="Heading2"/>
      </w:pPr>
      <w:r>
        <w:t xml:space="preserve">1. Tool Overview</w:t>
      </w:r>
    </w:p>
    <w:bookmarkStart w:id="1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tool integrates with the Google Ads API to provide internal campaign performance analysis and reporting for Flat Earth Equipment’s advertising accounts.</w:t>
      </w:r>
    </w:p>
    <w:bookmarkEnd w:id="10"/>
    <w:bookmarkStart w:id="11" w:name="functionality"/>
    <w:p>
      <w:pPr>
        <w:pStyle w:val="Heading3"/>
      </w:pPr>
      <w:r>
        <w:t xml:space="preserve">Functionality</w:t>
      </w:r>
    </w:p>
    <w:p>
      <w:pPr>
        <w:pStyle w:val="Compact"/>
        <w:numPr>
          <w:ilvl w:val="0"/>
          <w:numId w:val="1001"/>
        </w:numPr>
      </w:pPr>
      <w:r>
        <w:t xml:space="preserve">View campaign performance metrics (impressions, clicks, conversions, cost)</w:t>
      </w:r>
    </w:p>
    <w:p>
      <w:pPr>
        <w:pStyle w:val="Compact"/>
        <w:numPr>
          <w:ilvl w:val="0"/>
          <w:numId w:val="1001"/>
        </w:numPr>
      </w:pPr>
      <w:r>
        <w:t xml:space="preserve">Analyze ad creative performance</w:t>
      </w:r>
    </w:p>
    <w:p>
      <w:pPr>
        <w:pStyle w:val="Compact"/>
        <w:numPr>
          <w:ilvl w:val="0"/>
          <w:numId w:val="1001"/>
        </w:numPr>
      </w:pPr>
      <w:r>
        <w:t xml:space="preserve">Monitor keyword performance</w:t>
      </w:r>
    </w:p>
    <w:p>
      <w:pPr>
        <w:pStyle w:val="Compact"/>
        <w:numPr>
          <w:ilvl w:val="0"/>
          <w:numId w:val="1001"/>
        </w:numPr>
      </w:pPr>
      <w:r>
        <w:t xml:space="preserve">Generate custom reports using GAQL (Google Ads Query Language)</w:t>
      </w:r>
    </w:p>
    <w:p>
      <w:pPr>
        <w:pStyle w:val="Compact"/>
        <w:numPr>
          <w:ilvl w:val="0"/>
          <w:numId w:val="1001"/>
        </w:numPr>
      </w:pPr>
      <w:r>
        <w:t xml:space="preserve">Review account structure and settings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technical-architecture"/>
    <w:p>
      <w:pPr>
        <w:pStyle w:val="Heading2"/>
      </w:pPr>
      <w:r>
        <w:t xml:space="preserve">2. Technical Architecture</w:t>
      </w:r>
    </w:p>
    <w:bookmarkStart w:id="13" w:name="authentication-method"/>
    <w:p>
      <w:pPr>
        <w:pStyle w:val="Heading3"/>
      </w:pPr>
      <w:r>
        <w:t xml:space="preserve">Authentication Method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OAuth 2.0</w:t>
      </w:r>
      <w:r>
        <w:t xml:space="preserve"> </w:t>
      </w:r>
      <w:r>
        <w:t xml:space="preserve">for secure user authentication</w:t>
      </w:r>
    </w:p>
    <w:p>
      <w:pPr>
        <w:pStyle w:val="Compact"/>
        <w:numPr>
          <w:ilvl w:val="0"/>
          <w:numId w:val="1002"/>
        </w:numPr>
      </w:pPr>
      <w:r>
        <w:t xml:space="preserve">Desktop application flow with localhost redirect</w:t>
      </w:r>
    </w:p>
    <w:p>
      <w:pPr>
        <w:pStyle w:val="Compact"/>
        <w:numPr>
          <w:ilvl w:val="0"/>
          <w:numId w:val="1002"/>
        </w:numPr>
      </w:pPr>
      <w:r>
        <w:t xml:space="preserve">Credentials stored securely on local machine</w:t>
      </w:r>
    </w:p>
    <w:bookmarkEnd w:id="13"/>
    <w:bookmarkStart w:id="14" w:name="api-integration"/>
    <w:p>
      <w:pPr>
        <w:pStyle w:val="Heading3"/>
      </w:pPr>
      <w:r>
        <w:t xml:space="preserve">API Integration</w:t>
      </w:r>
    </w:p>
    <w:p>
      <w:pPr>
        <w:pStyle w:val="Compact"/>
        <w:numPr>
          <w:ilvl w:val="0"/>
          <w:numId w:val="1003"/>
        </w:numPr>
      </w:pPr>
      <w:r>
        <w:t xml:space="preserve">Uses Google Ads API v19 (REST)</w:t>
      </w:r>
    </w:p>
    <w:p>
      <w:pPr>
        <w:pStyle w:val="Compact"/>
        <w:numPr>
          <w:ilvl w:val="0"/>
          <w:numId w:val="1003"/>
        </w:numPr>
      </w:pPr>
      <w:r>
        <w:t xml:space="preserve">Read-only operations for reporting and analysis</w:t>
      </w:r>
    </w:p>
    <w:p>
      <w:pPr>
        <w:pStyle w:val="Compact"/>
        <w:numPr>
          <w:ilvl w:val="0"/>
          <w:numId w:val="1003"/>
        </w:numPr>
      </w:pPr>
      <w:r>
        <w:t xml:space="preserve">No automated campaign modifications</w:t>
      </w:r>
    </w:p>
    <w:bookmarkEnd w:id="14"/>
    <w:bookmarkStart w:id="15" w:name="data-flow"/>
    <w:p>
      <w:pPr>
        <w:pStyle w:val="Heading3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User Request → MCP Server → Google Ads API → Response → User Display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data-access-usage"/>
    <w:p>
      <w:pPr>
        <w:pStyle w:val="Heading2"/>
      </w:pPr>
      <w:r>
        <w:t xml:space="preserve">3. Data Access &amp; Usage</w:t>
      </w:r>
    </w:p>
    <w:bookmarkStart w:id="17" w:name="data-accessed"/>
    <w:p>
      <w:pPr>
        <w:pStyle w:val="Heading3"/>
      </w:pPr>
      <w:r>
        <w:t xml:space="preserve">Data Accessed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metrics</w:t>
            </w:r>
          </w:p>
        </w:tc>
        <w:tc>
          <w:tcPr/>
          <w:p>
            <w:pPr>
              <w:pStyle w:val="Compact"/>
            </w:pPr>
            <w:r>
              <w:t xml:space="preserve">Performance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group data</w:t>
            </w:r>
          </w:p>
        </w:tc>
        <w:tc>
          <w:tcPr/>
          <w:p>
            <w:pPr>
              <w:pStyle w:val="Compact"/>
            </w:pPr>
            <w:r>
              <w:t xml:space="preserve">Optimization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data</w:t>
            </w:r>
          </w:p>
        </w:tc>
        <w:tc>
          <w:tcPr/>
          <w:p>
            <w:pPr>
              <w:pStyle w:val="Compact"/>
            </w:pPr>
            <w:r>
              <w:t xml:space="preserve">Search term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creative data</w:t>
            </w:r>
          </w:p>
        </w:tc>
        <w:tc>
          <w:tcPr/>
          <w:p>
            <w:pPr>
              <w:pStyle w:val="Compact"/>
            </w:pPr>
            <w:r>
              <w:t xml:space="preserve">Creative performance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settings</w:t>
            </w:r>
          </w:p>
        </w:tc>
        <w:tc>
          <w:tcPr/>
          <w:p>
            <w:pPr>
              <w:pStyle w:val="Compact"/>
            </w:pPr>
            <w:r>
              <w:t xml:space="preserve">Configuration verification</w:t>
            </w:r>
          </w:p>
        </w:tc>
      </w:tr>
    </w:tbl>
    <w:bookmarkEnd w:id="17"/>
    <w:bookmarkStart w:id="18" w:name="data-storage"/>
    <w:p>
      <w:pPr>
        <w:pStyle w:val="Heading3"/>
      </w:pPr>
      <w:r>
        <w:t xml:space="preserve">Data Storage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data is stored permanently</w:t>
      </w:r>
    </w:p>
    <w:p>
      <w:pPr>
        <w:pStyle w:val="Compact"/>
        <w:numPr>
          <w:ilvl w:val="0"/>
          <w:numId w:val="1004"/>
        </w:numPr>
      </w:pPr>
      <w:r>
        <w:t xml:space="preserve">Data is fetched on-demand and displayed to the user</w:t>
      </w:r>
    </w:p>
    <w:p>
      <w:pPr>
        <w:pStyle w:val="Compact"/>
        <w:numPr>
          <w:ilvl w:val="0"/>
          <w:numId w:val="1004"/>
        </w:numPr>
      </w:pPr>
      <w:r>
        <w:t xml:space="preserve">No data is shared with third parties</w:t>
      </w:r>
    </w:p>
    <w:bookmarkEnd w:id="18"/>
    <w:bookmarkStart w:id="19" w:name="data-retention"/>
    <w:p>
      <w:pPr>
        <w:pStyle w:val="Heading3"/>
      </w:pPr>
      <w:r>
        <w:t xml:space="preserve">Data Retention</w:t>
      </w:r>
    </w:p>
    <w:p>
      <w:pPr>
        <w:pStyle w:val="Compact"/>
        <w:numPr>
          <w:ilvl w:val="0"/>
          <w:numId w:val="1005"/>
        </w:numPr>
      </w:pPr>
      <w:r>
        <w:t xml:space="preserve">Data is only held in memory during active sessions</w:t>
      </w:r>
    </w:p>
    <w:p>
      <w:pPr>
        <w:pStyle w:val="Compact"/>
        <w:numPr>
          <w:ilvl w:val="0"/>
          <w:numId w:val="1005"/>
        </w:numPr>
      </w:pPr>
      <w:r>
        <w:t xml:space="preserve">No persistent storage of Google Ads data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use-case-scenarios"/>
    <w:p>
      <w:pPr>
        <w:pStyle w:val="Heading2"/>
      </w:pPr>
      <w:r>
        <w:t xml:space="preserve">4. Use Case Scenarios</w:t>
      </w:r>
    </w:p>
    <w:bookmarkStart w:id="21" w:name="scenario-1-campaign-performance-review"/>
    <w:p>
      <w:pPr>
        <w:pStyle w:val="Heading3"/>
      </w:pPr>
      <w:r>
        <w:t xml:space="preserve">Scenario 1: Campaign Performance Review</w:t>
      </w:r>
    </w:p>
    <w:p>
      <w:pPr>
        <w:pStyle w:val="FirstParagraph"/>
      </w:pPr>
      <w:r>
        <w:t xml:space="preserve">User requests campaign performance for the last 30 days to identify top-performing campaigns and optimization opportunities.</w:t>
      </w:r>
    </w:p>
    <w:bookmarkEnd w:id="21"/>
    <w:bookmarkStart w:id="22" w:name="scenario-2-ad-creative-analysis"/>
    <w:p>
      <w:pPr>
        <w:pStyle w:val="Heading3"/>
      </w:pPr>
      <w:r>
        <w:t xml:space="preserve">Scenario 2: Ad Creative Analysis</w:t>
      </w:r>
    </w:p>
    <w:p>
      <w:pPr>
        <w:pStyle w:val="FirstParagraph"/>
      </w:pPr>
      <w:r>
        <w:t xml:space="preserve">User reviews ad headlines and descriptions to understand which messaging resonates best with the target audience.</w:t>
      </w:r>
    </w:p>
    <w:bookmarkEnd w:id="22"/>
    <w:bookmarkStart w:id="23" w:name="scenario-3-keyword-performance"/>
    <w:p>
      <w:pPr>
        <w:pStyle w:val="Heading3"/>
      </w:pPr>
      <w:r>
        <w:t xml:space="preserve">Scenario 3: Keyword Performance</w:t>
      </w:r>
    </w:p>
    <w:p>
      <w:pPr>
        <w:pStyle w:val="FirstParagraph"/>
      </w:pPr>
      <w:r>
        <w:t xml:space="preserve">User analyzes keyword performance to identify high-converting search terms and negative keyword opportunities.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ecurity-measures"/>
    <w:p>
      <w:pPr>
        <w:pStyle w:val="Heading2"/>
      </w:pPr>
      <w:r>
        <w:t xml:space="preserve">5. Security Measures</w:t>
      </w:r>
    </w:p>
    <w:p>
      <w:pPr>
        <w:pStyle w:val="Compact"/>
        <w:numPr>
          <w:ilvl w:val="0"/>
          <w:numId w:val="1006"/>
        </w:numPr>
      </w:pPr>
      <w:r>
        <w:t xml:space="preserve">OAuth 2.0 authentication with Google’s secure token flow</w:t>
      </w:r>
    </w:p>
    <w:p>
      <w:pPr>
        <w:pStyle w:val="Compact"/>
        <w:numPr>
          <w:ilvl w:val="0"/>
          <w:numId w:val="1006"/>
        </w:numPr>
      </w:pPr>
      <w:r>
        <w:t xml:space="preserve">Credentials stored locally, never transmitted to third parties</w:t>
      </w:r>
    </w:p>
    <w:p>
      <w:pPr>
        <w:pStyle w:val="Compact"/>
        <w:numPr>
          <w:ilvl w:val="0"/>
          <w:numId w:val="1006"/>
        </w:numPr>
      </w:pPr>
      <w:r>
        <w:t xml:space="preserve">No automated or bulk operations</w:t>
      </w:r>
    </w:p>
    <w:p>
      <w:pPr>
        <w:pStyle w:val="Compact"/>
        <w:numPr>
          <w:ilvl w:val="0"/>
          <w:numId w:val="1006"/>
        </w:numPr>
      </w:pPr>
      <w:r>
        <w:t xml:space="preserve">Single-user, desktop application use only</w:t>
      </w:r>
    </w:p>
    <w:p>
      <w:pPr>
        <w:pStyle w:val="Compact"/>
        <w:numPr>
          <w:ilvl w:val="0"/>
          <w:numId w:val="1006"/>
        </w:numPr>
      </w:pPr>
      <w:r>
        <w:t xml:space="preserve">Developer token restricted to authorized accounts</w:t>
      </w:r>
    </w:p>
    <w:p>
      <w:r>
        <w:pict>
          <v:rect style="width:0;height:1.5pt" o:hralign="center" o:hrstd="t" o:hr="t"/>
        </w:pict>
      </w:r>
    </w:p>
    <w:bookmarkEnd w:id="25"/>
    <w:bookmarkStart w:id="26" w:name="rate-limiting-best-practices"/>
    <w:p>
      <w:pPr>
        <w:pStyle w:val="Heading2"/>
      </w:pPr>
      <w:r>
        <w:t xml:space="preserve">6. Rate Limiting &amp; Best Practices</w:t>
      </w:r>
    </w:p>
    <w:p>
      <w:pPr>
        <w:pStyle w:val="Compact"/>
        <w:numPr>
          <w:ilvl w:val="0"/>
          <w:numId w:val="1007"/>
        </w:numPr>
      </w:pPr>
      <w:r>
        <w:t xml:space="preserve">Queries are made on-demand by user request only</w:t>
      </w:r>
    </w:p>
    <w:p>
      <w:pPr>
        <w:pStyle w:val="Compact"/>
        <w:numPr>
          <w:ilvl w:val="0"/>
          <w:numId w:val="1007"/>
        </w:numPr>
      </w:pPr>
      <w:r>
        <w:t xml:space="preserve">No automated polling or scheduled queries</w:t>
      </w:r>
    </w:p>
    <w:p>
      <w:pPr>
        <w:pStyle w:val="Compact"/>
        <w:numPr>
          <w:ilvl w:val="0"/>
          <w:numId w:val="1007"/>
        </w:numPr>
      </w:pPr>
      <w:r>
        <w:t xml:space="preserve">Results are limited (typically 50-200 records per query)</w:t>
      </w:r>
    </w:p>
    <w:p>
      <w:pPr>
        <w:pStyle w:val="Compact"/>
        <w:numPr>
          <w:ilvl w:val="0"/>
          <w:numId w:val="1007"/>
        </w:numPr>
      </w:pPr>
      <w:r>
        <w:t xml:space="preserve">Follows Google Ads API rate limiting guidelines</w:t>
      </w:r>
    </w:p>
    <w:p>
      <w:r>
        <w:pict>
          <v:rect style="width:0;height:1.5pt" o:hralign="center" o:hrstd="t" o:hr="t"/>
        </w:pict>
      </w:r>
    </w:p>
    <w:bookmarkEnd w:id="26"/>
    <w:bookmarkStart w:id="27" w:name="compliance"/>
    <w:p>
      <w:pPr>
        <w:pStyle w:val="Heading2"/>
      </w:pPr>
      <w:r>
        <w:t xml:space="preserve">7. Compliance</w:t>
      </w:r>
    </w:p>
    <w:p>
      <w:pPr>
        <w:pStyle w:val="Compact"/>
        <w:numPr>
          <w:ilvl w:val="0"/>
          <w:numId w:val="1008"/>
        </w:numPr>
      </w:pPr>
      <w:r>
        <w:t xml:space="preserve">Tool is for internal business use only</w:t>
      </w:r>
    </w:p>
    <w:p>
      <w:pPr>
        <w:pStyle w:val="Compact"/>
        <w:numPr>
          <w:ilvl w:val="0"/>
          <w:numId w:val="1008"/>
        </w:numPr>
      </w:pPr>
      <w:r>
        <w:t xml:space="preserve">No resale or commercial distribution of data</w:t>
      </w:r>
    </w:p>
    <w:p>
      <w:pPr>
        <w:pStyle w:val="Compact"/>
        <w:numPr>
          <w:ilvl w:val="0"/>
          <w:numId w:val="1008"/>
        </w:numPr>
      </w:pPr>
      <w:r>
        <w:t xml:space="preserve">Complies with Google Ads API Terms of Service</w:t>
      </w:r>
    </w:p>
    <w:p>
      <w:pPr>
        <w:pStyle w:val="Compact"/>
        <w:numPr>
          <w:ilvl w:val="0"/>
          <w:numId w:val="1008"/>
        </w:numPr>
      </w:pPr>
      <w:r>
        <w:t xml:space="preserve">User data protected according to Google’s policies</w:t>
      </w:r>
    </w:p>
    <w:p>
      <w:r>
        <w:pict>
          <v:rect style="width:0;height:1.5pt" o:hralign="center" o:hrstd="t" o:hr="t"/>
        </w:pict>
      </w:r>
    </w:p>
    <w:bookmarkEnd w:id="27"/>
    <w:bookmarkStart w:id="28" w:name="contact-information"/>
    <w:p>
      <w:pPr>
        <w:pStyle w:val="Heading2"/>
      </w:pPr>
      <w:r>
        <w:t xml:space="preserve">8. Contact Information</w:t>
      </w:r>
    </w:p>
    <w:p>
      <w:pPr>
        <w:pStyle w:val="FirstParagraph"/>
      </w:pPr>
      <w:r>
        <w:rPr>
          <w:b/>
          <w:bCs/>
        </w:rPr>
        <w:t xml:space="preserve">Developer:</w:t>
      </w:r>
      <w:r>
        <w:t xml:space="preserve"> </w:t>
      </w:r>
      <w:r>
        <w:t xml:space="preserve">Flat Earth Equipment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flatearthequip@gmail.com</w:t>
      </w:r>
      <w:r>
        <w:br/>
      </w:r>
      <w:r>
        <w:rPr>
          <w:b/>
          <w:bCs/>
        </w:rPr>
        <w:t xml:space="preserve">Google Ads Account:</w:t>
      </w:r>
      <w:r>
        <w:t xml:space="preserve"> </w:t>
      </w:r>
      <w:r>
        <w:t xml:space="preserve">346-671-1027</w:t>
      </w:r>
      <w:r>
        <w:br/>
      </w:r>
      <w:r>
        <w:rPr>
          <w:b/>
          <w:bCs/>
        </w:rPr>
        <w:t xml:space="preserve">Manager Account:</w:t>
      </w:r>
      <w:r>
        <w:t xml:space="preserve"> </w:t>
      </w:r>
      <w:r>
        <w:t xml:space="preserve">662-156-1929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1.0</w:t>
      </w:r>
      <w:r>
        <w:br/>
      </w:r>
      <w:r>
        <w:rPr>
          <w:i/>
          <w:iCs/>
        </w:rPr>
        <w:t xml:space="preserve">Date: January 2026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2026-01-13T18:01:10Z</dcterms:created>
  <dcterms:modified xsi:type="dcterms:W3CDTF">2026-01-13T18:01:10Z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