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not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2"/>
      </w:pPr>
      <w:r>
        <w:t>6.3 Hardware utilization</w:t>
      </w:r>
    </w:p>
    <w:p>
      <w:r>
        <w:rPr>
          <w:b w:val="0"/>
          <w:i w:val="0"/>
        </w:rPr>
        <w:t>Speedup against a reference says how much waste was removed, not how close the result is to what the hardware can do. Both figures below are derived from measured latency plus a counted FLOP or byte model, not measured directly.</w:t>
      </w:r>
    </w:p>
    <w:p>
      <w:r>
        <w:rPr>
          <w:b w:val="0"/>
          <w:i w:val="0"/>
        </w:rPr>
        <w:t>Shape #6 is the memory-bound case. Counting every activation pass through the four layers — residual reads and writes in fp32, narrowed activations in fp16, the fused QKV tensor, and the FFN intermediates — gives about 30.1 GB of traffic per forward. Against the measured 58.561 ms that is 515 GB/s, on a part whose DRAM peak is 432 GB/s (192-bit GDDR6 at 18 Gbps).</w:t>
      </w:r>
    </w:p>
    <w:p>
      <w:r>
        <w:rPr>
          <w:b/>
          <w:i w:val="0"/>
        </w:rPr>
        <w:t xml:space="preserve">Exceeding DRAM peak is not an error in the model; it is the result. </w:t>
      </w:r>
      <w:r>
        <w:rPr>
          <w:b w:val="0"/>
          <w:i w:val="0"/>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r>
        <w:rPr>
          <w:b w:val="0"/>
          <w:i w:val="0"/>
        </w:rPr>
        <w:t>Shape #8 is the GEMM-bound case. Its four layers total 420.9 GFLOP, of which the QKV projection is 49%, the FFN 33%, the output projection 16% and attention itself only 2% — which is why the fusions, which target the non-GEMM work, are worth just 1.13x there. Against the measured 8.093 ms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Total</w:t>
            </w:r>
          </w:p>
        </w:tc>
        <w:tc>
          <w:tcPr>
            <w:tcW w:type="dxa" w:w="2160"/>
          </w:tcPr>
          <w:p>
            <w:r/>
            <w:r>
              <w:rPr>
                <w:b/>
                <w:sz w:val="16"/>
              </w:rPr>
              <w:t>79.406</w:t>
            </w:r>
          </w:p>
        </w:tc>
        <w:tc>
          <w:tcPr>
            <w:tcW w:type="dxa" w:w="2160"/>
          </w:tcPr>
          <w:p>
            <w:r/>
            <w:r>
              <w:rPr>
                <w:b/>
                <w:sz w:val="16"/>
              </w:rPr>
              <w:t>109.389</w:t>
            </w:r>
          </w:p>
        </w:tc>
        <w:tc>
          <w:tcPr>
            <w:tcW w:type="dxa" w:w="1512"/>
          </w:tcPr>
          <w:p>
            <w:r/>
            <w:r>
              <w:rPr>
                <w:b/>
                <w:sz w:val="16"/>
              </w:rPr>
              <w:t>1.38x</w:t>
            </w:r>
          </w:p>
        </w:tc>
      </w:tr>
      <w:tr>
        <w:tc>
          <w:tcPr>
            <w:tcW w:type="dxa" w:w="1656"/>
          </w:tcPr>
          <w:p>
            <w:r/>
            <w:r>
              <w:rPr>
                <w:b/>
                <w:sz w:val="16"/>
              </w:rPr>
              <w:t>Geometric mean</w:t>
            </w:r>
          </w:p>
        </w:tc>
        <w:tc>
          <w:tcPr>
            <w:tcW w:type="dxa" w:w="2160"/>
          </w:tcPr>
          <w:p>
            <w:r/>
            <w:r>
              <w:rPr>
                <w:b/>
                <w:sz w:val="16"/>
              </w:rPr>
              <w:t>n/a</w:t>
            </w:r>
          </w:p>
        </w:tc>
        <w:tc>
          <w:tcPr>
            <w:tcW w:type="dxa" w:w="2160"/>
          </w:tcPr>
          <w:p>
            <w:r/>
            <w:r>
              <w:rPr>
                <w:b/>
                <w:sz w:val="16"/>
              </w:rPr>
              <w:t>n/a</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 The two aggregates differ because the summed-time ratio is dominated by shape #6, which alone is 80% of the total; the geometric mean weights each shape equally, so it has no meaningful millisecond total of its own.</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7: Development tooling. Editing in VS Code; figures via matplotlib, and this report generated from a script so it rebuilds when a measurement changes.</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A hand-written Triton attention kernel could go further than SDPA can: its epilogue is fixed, so the output projection and the residual add must each be a separate pass over the [B, S, d] activation. Fusing them into the FlashAttention epilogue would remove an HBM round-trip per layer, which is where we would look for the next increment.</w:t>
      </w:r>
    </w:p>
    <w:p>
      <w:pPr>
        <w:pStyle w:val="Heading1"/>
      </w:pPr>
      <w:r>
        <w:t>11. Conclusion</w:t>
      </w:r>
    </w:p>
    <w:p>
      <w:r>
        <w:rPr>
          <w:b w:val="0"/>
          <w:i w:val="0"/>
        </w:rPr>
        <w:t>We achieve a 10.014x geometric-mean speedup across the thirteen comparable shapes, correct on every one under the task's tolerance, and additionally execute the fourteenth — for which no reference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Tillet, P., Kung, H. T., Cox, D. Triton: An Intermediate Language and Compiler for Tiled Neural Network Computations. MAPL, 2019.</w:t>
      </w:r>
    </w:p>
    <w:p>
      <w:pPr>
        <w:spacing w:after="100"/>
        <w:ind w:left="504" w:hanging="504"/>
      </w:pPr>
      <w:r>
        <w:rPr>
          <w:sz w:val="20"/>
        </w:rPr>
        <w:t>[4]  Micikevicius, P. et al. Mixed Precision Training. ICLR, 2018.</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