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with a runnable reference it achieves a geometric-mean speedup of 10.014x, from 2.707x to 35.179x, satisfying the task's per-element correctness contract on every one. The fourteenth admits no runnable reference — its baseline would need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every one)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not by hardcoded shape thresholds.</w:t>
      </w:r>
    </w:p>
    <w:p>
      <w:pPr>
        <w:pStyle w:val="ListBullet"/>
        <w:spacing w:after="60"/>
      </w:pPr>
      <w:r>
        <w:rPr>
          <w:b/>
        </w:rPr>
        <w:t xml:space="preserve">Feasibility. </w:t>
      </w:r>
      <w:r>
        <w:t>Execution of a shape whose reference implementation is physically impossible to run, via memory-aware slicing and output aliasing (Section 6.2).</w:t>
      </w:r>
    </w:p>
    <w:p>
      <w:pPr>
        <w:pStyle w:val="ListBullet"/>
        <w:spacing w:after="60"/>
      </w:pPr>
      <w:r>
        <w:rPr>
          <w:b/>
        </w:rPr>
        <w:t xml:space="preserve">Ablation. </w:t>
      </w:r>
      <w:r>
        <w:t>A per-shape ablation isolating the fusion contribution, plus a five-mode study that overturned our own adoption policy.</w:t>
      </w:r>
    </w:p>
    <w:p>
      <w:pPr>
        <w:pStyle w:val="ListBullet"/>
        <w:spacing w:after="60"/>
      </w:pPr>
      <w:r>
        <w:rPr>
          <w:b/>
        </w:rPr>
        <w:t xml:space="preserve">Negative results. </w:t>
      </w:r>
      <w: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is that Q K^T has shape [B, H, S, S], quadratic in sequence length: materializing it is what makes naive attention expensive in memory rather than merely in arithmetic. The reference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Two optimizations in detail</w:t>
      </w:r>
    </w:p>
    <w:p>
      <w:r>
        <w:rPr>
          <w:b w:val="0"/>
          <w:i w:val="0"/>
        </w:rPr>
        <w:t>Table 2 names all nine countermeasures. Two are expanded here, for different reasons: the first rests on a correctness argument that has to be stated before it can be trusted, and the second is a design choice where the more obvious alternative is measurably worse.</w:t>
      </w:r>
    </w:p>
    <w:p>
      <w:pPr>
        <w:pStyle w:val="Heading3"/>
      </w:pPr>
      <w:r>
        <w:t>4.2.1 Prefix-mask elision</w:t>
      </w:r>
    </w:p>
    <w:p>
      <w:r>
        <w:rPr>
          <w:b w:val="0"/>
          <w:i w:val="0"/>
        </w:rPr>
        <w:t>SDPA reaches its fastest backends only with is_causal=True and no explicit attn_mask;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pPr>
        <w:pStyle w:val="Heading3"/>
      </w:pPr>
      <w:r>
        <w:t>4.2.2 Slice-through-the-stack</w:t>
      </w:r>
    </w:p>
    <w:p>
      <w:r>
        <w:rPr>
          <w:b w:val="0"/>
          <w:i w:val="0"/>
        </w:rPr>
        <w:t>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LayerNorm to its last. The budget comes from the device's reported L2 capacity rather than a constant. On shape #6 the difference is ~3.3x in favour of slicing through the stack.</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3"/>
      </w:pPr>
      <w:r>
        <w:t>4.3.1 How the two precisions combine</w:t>
      </w:r>
    </w:p>
    <w:p>
      <w:r>
        <w:rPr>
          <w:b w:val="0"/>
          <w:i w:val="0"/>
        </w:rPr>
        <w:t>The mixed path is not a fallback: fp16 and fp32 run in the same forward. compute_dtype (fp16) carries every GEMM and the attention; accum_dtype (fp32) carries the residual stream and every LayerNorm.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r>
        <w:rPr>
          <w:b w:val="0"/>
          <w:i w:val="0"/>
        </w:rPr>
        <w:t>Choosing between the two is a fallback, with two gates. Per shape, calibration times an all-fp32 stack against the mixed stack and adopts fp16 only if it is both accurate enough and faster. Accuracy: |r16 - r32| + TF32 noise &lt;= 1.15 x atol — the module never sees the reference, so it bounds the error by triangulation rather than measuring it. Speed: fp16 must beat fp32 by more than 2%. fp32 is used if either gate fails, and the two cases are distinguishable in the log.</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and our calibration timer had to mirror that. Synchronizing per call lets the host catch up, making launch-bound shapes measure artificially cheap — on shape #13,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"fp16/fp32" = fp16 compute with an fp32 residual accumulator (Section 4.3.1).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run through run_optimized_only.py --inplace-output, which constructs no baseline,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r>
        <w:rPr>
          <w:b w:val="0"/>
          <w:i w:val="0"/>
        </w:rPr>
        <w:t>The aliasing itself is one line. The sliced path normally allocates a second full-size buffer to write results into; with the flag it writes into the input instead:</w:t>
      </w:r>
    </w:p>
    <w:p>
      <w:pPr>
        <w:spacing w:before="80" w:after="120"/>
        <w:ind w:left="360"/>
        <w:shd w:fill="F2F4F7"/>
      </w:pPr>
      <w:r>
        <w:rPr>
          <w:rFonts w:ascii="Consolas" w:hAnsi="Consolas"/>
          <w:sz w:val="17"/>
        </w:rPr>
        <w:t>output = x if inplace else torch.empty_like(x)</w:t>
        <w:br/>
      </w:r>
      <w:r>
        <w:rPr>
          <w:rFonts w:ascii="Consolas" w:hAnsi="Consolas"/>
          <w:sz w:val="17"/>
        </w:rPr>
        <w:t>while start &lt; batch:</w:t>
        <w:br/>
      </w:r>
      <w:r>
        <w:rPr>
          <w:rFonts w:ascii="Consolas" w:hAnsi="Consolas"/>
          <w:sz w:val="17"/>
        </w:rPr>
        <w:t xml:space="preserve">    stop = min(batch, start + slice_size)</w:t>
        <w:br/>
      </w:r>
      <w:r>
        <w:rPr>
          <w:rFonts w:ascii="Consolas" w:hAnsi="Consolas"/>
          <w:sz w:val="17"/>
        </w:rPr>
        <w:t xml:space="preserve">    output[start:stop] = forward_slice(x[start:stop], ...)</w:t>
      </w:r>
    </w:p>
    <w:p>
      <w:r>
        <w:rPr>
          <w:b w:val="0"/>
          <w:i w:val="0"/>
        </w:rPr>
        <w:t>The write on the last line happens either way, so aliasing adds no work — it only skips an allocation, 6.10 GiB at fp16 on this shape. It is safe for two reasons. Within a slice, forward_slice computes the rows completely into its own buffers and returns a new tensor before anything is written back, never writing through the view it was handed. Across slices, attention runs within a sequence and never across the batch, so a slice's result does not depend on other rows, and each slice writes only the rows no later slice will read.</w:t>
      </w:r>
    </w:p>
    <w:p>
      <w:r>
        <w:rPr>
          <w:b w:val="0"/>
          <w:i w:val="0"/>
        </w:rPr>
        <w:t>This is also why run_all_shapes.py reports #14 as OOM: the sweep runs fp32, where the shape genuinely does not fit. That refusal is the preflight check working, not a failure of the optimized path.</w:t>
      </w:r>
    </w:p>
    <w:p>
      <w:pPr>
        <w:pStyle w:val="Heading2"/>
      </w:pPr>
      <w:r>
        <w:t>6.3 Hardware utilization</w:t>
      </w:r>
    </w:p>
    <w:p>
      <w:r>
        <w:rPr>
          <w:b w:val="0"/>
          <w:i w:val="0"/>
        </w:rPr>
        <w:t>Speedup against a reference says how much waste was removed, not how close the result is to what the hardware can do. Both figures below are derived from measured latency plus a counted FLOP or byte model, not measured directly.</w:t>
      </w:r>
    </w:p>
    <w:p>
      <w:r>
        <w:rPr>
          <w:b w:val="0"/>
          <w:i w:val="0"/>
        </w:rPr>
        <w:t>Shape #6 is the memory-bound case. Counting every activation pass through the four layers — residual reads and writes in fp32, narrowed activations in fp16, the fused QKV tensor, and the FFN intermediates — gives about 30.1 GB of traffic per forward. Against the measured 58.561 ms that is 515 GB/s, on a part whose DRAM peak is 432 GB/s (192-bit GDDR6 at 18 Gbps).</w:t>
      </w:r>
    </w:p>
    <w:p>
      <w:r>
        <w:rPr>
          <w:b/>
          <w:i w:val="0"/>
        </w:rPr>
        <w:t xml:space="preserve">Exceeding DRAM peak is not an error in the model; it is the result. </w:t>
      </w:r>
      <w:r>
        <w:rPr>
          <w:b w:val="0"/>
          <w:i w:val="0"/>
        </w:rPr>
        <w:t>The model counts every pass as though it reached memory, so a figure above peak means a substantial share demonstrably did not — it was served from L2. That is precisely what slice-through-the-stack exists to achieve: a slice traverses all four layers while resident, instead of the activation being re-read from HBM at every layer boundary.</w:t>
      </w:r>
    </w:p>
    <w:p>
      <w:r>
        <w:rPr>
          <w:b w:val="0"/>
          <w:i w:val="0"/>
        </w:rPr>
        <w:t>Shape #8 is the GEMM-bound case. Its four layers total 420.9 GFLOP, of which the QKV projection is 49%, the FFN 33%, the output projection 16% and attention itself only 2% — which is why the fusions, which target the non-GEMM work, are worth just 1.13x there. Against the measured 8.093 ms that is 52.0 TFLOPS of fp16 throughput. Sustaining above 50 TFLOPS is not reachable through the fp32 shader path on a part of this class, so the number is itself evidence the tensor-core path is engaged. We quote no utilization percentage for it: peak tensor throughput on laptop parts depends on the TGP the vendor configured, so a denominator we cannot verify would be worse than none.</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except #6, which uses 30 repeats over five runs per mode. Only #14 is excluded, for having no runnable reference.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656"/>
            <w:shd w:fill="E8EDF3"/>
          </w:tcPr>
          <w:p>
            <w:r/>
            <w:r>
              <w:rPr>
                <w:b/>
                <w:sz w:val="17"/>
              </w:rPr>
              <w:t>Shape</w:t>
            </w:r>
          </w:p>
        </w:tc>
        <w:tc>
          <w:tcPr>
            <w:tcW w:type="dxa" w:w="2160"/>
            <w:shd w:fill="E8EDF3"/>
          </w:tcPr>
          <w:p>
            <w:r/>
            <w:r>
              <w:rPr>
                <w:b/>
                <w:sz w:val="17"/>
              </w:rPr>
              <w:t>Fusion on (ms)</w:t>
            </w:r>
          </w:p>
        </w:tc>
        <w:tc>
          <w:tcPr>
            <w:tcW w:type="dxa" w:w="2160"/>
            <w:shd w:fill="E8EDF3"/>
          </w:tcPr>
          <w:p>
            <w:r/>
            <w:r>
              <w:rPr>
                <w:b/>
                <w:sz w:val="17"/>
              </w:rPr>
              <w:t>Fusion off (ms)</w:t>
            </w:r>
          </w:p>
        </w:tc>
        <w:tc>
          <w:tcPr>
            <w:tcW w:type="dxa" w:w="1512"/>
            <w:shd w:fill="E8EDF3"/>
          </w:tcPr>
          <w:p>
            <w:r/>
            <w:r>
              <w:rPr>
                <w:b/>
                <w:sz w:val="17"/>
              </w:rPr>
              <w:t>Gain</w:t>
            </w:r>
          </w:p>
        </w:tc>
      </w:tr>
      <w:tr>
        <w:tc>
          <w:tcPr>
            <w:tcW w:type="dxa" w:w="1656"/>
          </w:tcPr>
          <w:p>
            <w:r/>
            <w:r>
              <w:rPr>
                <w:sz w:val="16"/>
              </w:rPr>
              <w:t>1</w:t>
            </w:r>
          </w:p>
        </w:tc>
        <w:tc>
          <w:tcPr>
            <w:tcW w:type="dxa" w:w="2160"/>
          </w:tcPr>
          <w:p>
            <w:r/>
            <w:r>
              <w:rPr>
                <w:sz w:val="16"/>
              </w:rPr>
              <w:t>0.3584</w:t>
            </w:r>
          </w:p>
        </w:tc>
        <w:tc>
          <w:tcPr>
            <w:tcW w:type="dxa" w:w="2160"/>
          </w:tcPr>
          <w:p>
            <w:r/>
            <w:r>
              <w:rPr>
                <w:sz w:val="16"/>
              </w:rPr>
              <w:t>0.7311</w:t>
            </w:r>
          </w:p>
        </w:tc>
        <w:tc>
          <w:tcPr>
            <w:tcW w:type="dxa" w:w="1512"/>
          </w:tcPr>
          <w:p>
            <w:r/>
            <w:r>
              <w:rPr>
                <w:sz w:val="16"/>
              </w:rPr>
              <w:t>2.04x</w:t>
            </w:r>
          </w:p>
        </w:tc>
      </w:tr>
      <w:tr>
        <w:tc>
          <w:tcPr>
            <w:tcW w:type="dxa" w:w="1656"/>
          </w:tcPr>
          <w:p>
            <w:r/>
            <w:r>
              <w:rPr>
                <w:sz w:val="16"/>
              </w:rPr>
              <w:t>2</w:t>
            </w:r>
          </w:p>
        </w:tc>
        <w:tc>
          <w:tcPr>
            <w:tcW w:type="dxa" w:w="2160"/>
          </w:tcPr>
          <w:p>
            <w:r/>
            <w:r>
              <w:rPr>
                <w:sz w:val="16"/>
              </w:rPr>
              <w:t>0.1208</w:t>
            </w:r>
          </w:p>
        </w:tc>
        <w:tc>
          <w:tcPr>
            <w:tcW w:type="dxa" w:w="2160"/>
          </w:tcPr>
          <w:p>
            <w:r/>
            <w:r>
              <w:rPr>
                <w:sz w:val="16"/>
              </w:rPr>
              <w:t>0.2273</w:t>
            </w:r>
          </w:p>
        </w:tc>
        <w:tc>
          <w:tcPr>
            <w:tcW w:type="dxa" w:w="1512"/>
          </w:tcPr>
          <w:p>
            <w:r/>
            <w:r>
              <w:rPr>
                <w:sz w:val="16"/>
              </w:rPr>
              <w:t>1.88x</w:t>
            </w:r>
          </w:p>
        </w:tc>
      </w:tr>
      <w:tr>
        <w:tc>
          <w:tcPr>
            <w:tcW w:type="dxa" w:w="1656"/>
          </w:tcPr>
          <w:p>
            <w:r/>
            <w:r>
              <w:rPr>
                <w:sz w:val="16"/>
              </w:rPr>
              <w:t>3</w:t>
            </w:r>
          </w:p>
        </w:tc>
        <w:tc>
          <w:tcPr>
            <w:tcW w:type="dxa" w:w="2160"/>
          </w:tcPr>
          <w:p>
            <w:r/>
            <w:r>
              <w:rPr>
                <w:sz w:val="16"/>
              </w:rPr>
              <w:t>0.2099</w:t>
            </w:r>
          </w:p>
        </w:tc>
        <w:tc>
          <w:tcPr>
            <w:tcW w:type="dxa" w:w="2160"/>
          </w:tcPr>
          <w:p>
            <w:r/>
            <w:r>
              <w:rPr>
                <w:sz w:val="16"/>
              </w:rPr>
              <w:t>0.2345</w:t>
            </w:r>
          </w:p>
        </w:tc>
        <w:tc>
          <w:tcPr>
            <w:tcW w:type="dxa" w:w="1512"/>
          </w:tcPr>
          <w:p>
            <w:r/>
            <w:r>
              <w:rPr>
                <w:sz w:val="16"/>
              </w:rPr>
              <w:t>1.12x</w:t>
            </w:r>
          </w:p>
        </w:tc>
      </w:tr>
      <w:tr>
        <w:tc>
          <w:tcPr>
            <w:tcW w:type="dxa" w:w="1656"/>
          </w:tcPr>
          <w:p>
            <w:r/>
            <w:r>
              <w:rPr>
                <w:sz w:val="16"/>
              </w:rPr>
              <w:t>4</w:t>
            </w:r>
          </w:p>
        </w:tc>
        <w:tc>
          <w:tcPr>
            <w:tcW w:type="dxa" w:w="2160"/>
          </w:tcPr>
          <w:p>
            <w:r/>
            <w:r>
              <w:rPr>
                <w:sz w:val="16"/>
              </w:rPr>
              <w:t>0.3779</w:t>
            </w:r>
          </w:p>
        </w:tc>
        <w:tc>
          <w:tcPr>
            <w:tcW w:type="dxa" w:w="2160"/>
          </w:tcPr>
          <w:p>
            <w:r/>
            <w:r>
              <w:rPr>
                <w:sz w:val="16"/>
              </w:rPr>
              <w:t>0.4485</w:t>
            </w:r>
          </w:p>
        </w:tc>
        <w:tc>
          <w:tcPr>
            <w:tcW w:type="dxa" w:w="1512"/>
          </w:tcPr>
          <w:p>
            <w:r/>
            <w:r>
              <w:rPr>
                <w:sz w:val="16"/>
              </w:rPr>
              <w:t>1.19x †</w:t>
            </w:r>
          </w:p>
        </w:tc>
      </w:tr>
      <w:tr>
        <w:tc>
          <w:tcPr>
            <w:tcW w:type="dxa" w:w="1656"/>
          </w:tcPr>
          <w:p>
            <w:r/>
            <w:r>
              <w:rPr>
                <w:sz w:val="16"/>
              </w:rPr>
              <w:t>5</w:t>
            </w:r>
          </w:p>
        </w:tc>
        <w:tc>
          <w:tcPr>
            <w:tcW w:type="dxa" w:w="2160"/>
          </w:tcPr>
          <w:p>
            <w:r/>
            <w:r>
              <w:rPr>
                <w:sz w:val="16"/>
              </w:rPr>
              <w:t>0.6431</w:t>
            </w:r>
          </w:p>
        </w:tc>
        <w:tc>
          <w:tcPr>
            <w:tcW w:type="dxa" w:w="2160"/>
          </w:tcPr>
          <w:p>
            <w:r/>
            <w:r>
              <w:rPr>
                <w:sz w:val="16"/>
              </w:rPr>
              <w:t>1.1141</w:t>
            </w:r>
          </w:p>
        </w:tc>
        <w:tc>
          <w:tcPr>
            <w:tcW w:type="dxa" w:w="1512"/>
          </w:tcPr>
          <w:p>
            <w:r/>
            <w:r>
              <w:rPr>
                <w:sz w:val="16"/>
              </w:rPr>
              <w:t>1.73x</w:t>
            </w:r>
          </w:p>
        </w:tc>
      </w:tr>
      <w:tr>
        <w:tc>
          <w:tcPr>
            <w:tcW w:type="dxa" w:w="1656"/>
          </w:tcPr>
          <w:p>
            <w:r/>
            <w:r>
              <w:rPr>
                <w:sz w:val="16"/>
              </w:rPr>
              <w:t>6</w:t>
            </w:r>
          </w:p>
        </w:tc>
        <w:tc>
          <w:tcPr>
            <w:tcW w:type="dxa" w:w="2160"/>
          </w:tcPr>
          <w:p>
            <w:r/>
            <w:r>
              <w:rPr>
                <w:sz w:val="16"/>
              </w:rPr>
              <w:t>62.9612</w:t>
            </w:r>
          </w:p>
        </w:tc>
        <w:tc>
          <w:tcPr>
            <w:tcW w:type="dxa" w:w="2160"/>
          </w:tcPr>
          <w:p>
            <w:r/>
            <w:r>
              <w:rPr>
                <w:sz w:val="16"/>
              </w:rPr>
              <w:t>87.7768</w:t>
            </w:r>
          </w:p>
        </w:tc>
        <w:tc>
          <w:tcPr>
            <w:tcW w:type="dxa" w:w="1512"/>
          </w:tcPr>
          <w:p>
            <w:r/>
            <w:r>
              <w:rPr>
                <w:sz w:val="16"/>
              </w:rPr>
              <w:t>1.39x ‡</w:t>
            </w:r>
          </w:p>
        </w:tc>
      </w:tr>
      <w:tr>
        <w:tc>
          <w:tcPr>
            <w:tcW w:type="dxa" w:w="1656"/>
          </w:tcPr>
          <w:p>
            <w:r/>
            <w:r>
              <w:rPr>
                <w:sz w:val="16"/>
              </w:rPr>
              <w:t>7</w:t>
            </w:r>
          </w:p>
        </w:tc>
        <w:tc>
          <w:tcPr>
            <w:tcW w:type="dxa" w:w="2160"/>
          </w:tcPr>
          <w:p>
            <w:r/>
            <w:r>
              <w:rPr>
                <w:sz w:val="16"/>
              </w:rPr>
              <w:t>0.1956</w:t>
            </w:r>
          </w:p>
        </w:tc>
        <w:tc>
          <w:tcPr>
            <w:tcW w:type="dxa" w:w="2160"/>
          </w:tcPr>
          <w:p>
            <w:r/>
            <w:r>
              <w:rPr>
                <w:sz w:val="16"/>
              </w:rPr>
              <w:t>0.3881</w:t>
            </w:r>
          </w:p>
        </w:tc>
        <w:tc>
          <w:tcPr>
            <w:tcW w:type="dxa" w:w="1512"/>
          </w:tcPr>
          <w:p>
            <w:r/>
            <w:r>
              <w:rPr>
                <w:sz w:val="16"/>
              </w:rPr>
              <w:t>1.98x</w:t>
            </w:r>
          </w:p>
        </w:tc>
      </w:tr>
      <w:tr>
        <w:tc>
          <w:tcPr>
            <w:tcW w:type="dxa" w:w="1656"/>
          </w:tcPr>
          <w:p>
            <w:r/>
            <w:r>
              <w:rPr>
                <w:sz w:val="16"/>
              </w:rPr>
              <w:t>8</w:t>
            </w:r>
          </w:p>
        </w:tc>
        <w:tc>
          <w:tcPr>
            <w:tcW w:type="dxa" w:w="2160"/>
          </w:tcPr>
          <w:p>
            <w:r/>
            <w:r>
              <w:rPr>
                <w:sz w:val="16"/>
              </w:rPr>
              <w:t>8.0865</w:t>
            </w:r>
          </w:p>
        </w:tc>
        <w:tc>
          <w:tcPr>
            <w:tcW w:type="dxa" w:w="2160"/>
          </w:tcPr>
          <w:p>
            <w:r/>
            <w:r>
              <w:rPr>
                <w:sz w:val="16"/>
              </w:rPr>
              <w:t>9.1116</w:t>
            </w:r>
          </w:p>
        </w:tc>
        <w:tc>
          <w:tcPr>
            <w:tcW w:type="dxa" w:w="1512"/>
          </w:tcPr>
          <w:p>
            <w:r/>
            <w:r>
              <w:rPr>
                <w:sz w:val="16"/>
              </w:rPr>
              <w:t>1.13x</w:t>
            </w:r>
          </w:p>
        </w:tc>
      </w:tr>
      <w:tr>
        <w:tc>
          <w:tcPr>
            <w:tcW w:type="dxa" w:w="1656"/>
          </w:tcPr>
          <w:p>
            <w:r/>
            <w:r>
              <w:rPr>
                <w:sz w:val="16"/>
              </w:rPr>
              <w:t>9</w:t>
            </w:r>
          </w:p>
        </w:tc>
        <w:tc>
          <w:tcPr>
            <w:tcW w:type="dxa" w:w="2160"/>
          </w:tcPr>
          <w:p>
            <w:r/>
            <w:r>
              <w:rPr>
                <w:sz w:val="16"/>
              </w:rPr>
              <w:t>0.5222</w:t>
            </w:r>
          </w:p>
        </w:tc>
        <w:tc>
          <w:tcPr>
            <w:tcW w:type="dxa" w:w="2160"/>
          </w:tcPr>
          <w:p>
            <w:r/>
            <w:r>
              <w:rPr>
                <w:sz w:val="16"/>
              </w:rPr>
              <w:t>0.8284</w:t>
            </w:r>
          </w:p>
        </w:tc>
        <w:tc>
          <w:tcPr>
            <w:tcW w:type="dxa" w:w="1512"/>
          </w:tcPr>
          <w:p>
            <w:r/>
            <w:r>
              <w:rPr>
                <w:sz w:val="16"/>
              </w:rPr>
              <w:t>1.59x</w:t>
            </w:r>
          </w:p>
        </w:tc>
      </w:tr>
      <w:tr>
        <w:tc>
          <w:tcPr>
            <w:tcW w:type="dxa" w:w="1656"/>
          </w:tcPr>
          <w:p>
            <w:r/>
            <w:r>
              <w:rPr>
                <w:sz w:val="16"/>
              </w:rPr>
              <w:t>10</w:t>
            </w:r>
          </w:p>
        </w:tc>
        <w:tc>
          <w:tcPr>
            <w:tcW w:type="dxa" w:w="2160"/>
          </w:tcPr>
          <w:p>
            <w:r/>
            <w:r>
              <w:rPr>
                <w:sz w:val="16"/>
              </w:rPr>
              <w:t>0.3369</w:t>
            </w:r>
          </w:p>
        </w:tc>
        <w:tc>
          <w:tcPr>
            <w:tcW w:type="dxa" w:w="2160"/>
          </w:tcPr>
          <w:p>
            <w:r/>
            <w:r>
              <w:rPr>
                <w:sz w:val="16"/>
              </w:rPr>
              <w:t>0.7055</w:t>
            </w:r>
          </w:p>
        </w:tc>
        <w:tc>
          <w:tcPr>
            <w:tcW w:type="dxa" w:w="1512"/>
          </w:tcPr>
          <w:p>
            <w:r/>
            <w:r>
              <w:rPr>
                <w:sz w:val="16"/>
              </w:rPr>
              <w:t>2.09x</w:t>
            </w:r>
          </w:p>
        </w:tc>
      </w:tr>
      <w:tr>
        <w:tc>
          <w:tcPr>
            <w:tcW w:type="dxa" w:w="1656"/>
          </w:tcPr>
          <w:p>
            <w:r/>
            <w:r>
              <w:rPr>
                <w:sz w:val="16"/>
              </w:rPr>
              <w:t>11</w:t>
            </w:r>
          </w:p>
        </w:tc>
        <w:tc>
          <w:tcPr>
            <w:tcW w:type="dxa" w:w="2160"/>
          </w:tcPr>
          <w:p>
            <w:r/>
            <w:r>
              <w:rPr>
                <w:sz w:val="16"/>
              </w:rPr>
              <w:t>0.5294</w:t>
            </w:r>
          </w:p>
        </w:tc>
        <w:tc>
          <w:tcPr>
            <w:tcW w:type="dxa" w:w="2160"/>
          </w:tcPr>
          <w:p>
            <w:r/>
            <w:r>
              <w:rPr>
                <w:sz w:val="16"/>
              </w:rPr>
              <w:t>0.7839</w:t>
            </w:r>
          </w:p>
        </w:tc>
        <w:tc>
          <w:tcPr>
            <w:tcW w:type="dxa" w:w="1512"/>
          </w:tcPr>
          <w:p>
            <w:r/>
            <w:r>
              <w:rPr>
                <w:sz w:val="16"/>
              </w:rPr>
              <w:t>1.48x</w:t>
            </w:r>
          </w:p>
        </w:tc>
      </w:tr>
      <w:tr>
        <w:tc>
          <w:tcPr>
            <w:tcW w:type="dxa" w:w="1656"/>
          </w:tcPr>
          <w:p>
            <w:r/>
            <w:r>
              <w:rPr>
                <w:sz w:val="16"/>
              </w:rPr>
              <w:t>12</w:t>
            </w:r>
          </w:p>
        </w:tc>
        <w:tc>
          <w:tcPr>
            <w:tcW w:type="dxa" w:w="2160"/>
          </w:tcPr>
          <w:p>
            <w:r/>
            <w:r>
              <w:rPr>
                <w:sz w:val="16"/>
              </w:rPr>
              <w:t>0.3702</w:t>
            </w:r>
          </w:p>
        </w:tc>
        <w:tc>
          <w:tcPr>
            <w:tcW w:type="dxa" w:w="2160"/>
          </w:tcPr>
          <w:p>
            <w:r/>
            <w:r>
              <w:rPr>
                <w:sz w:val="16"/>
              </w:rPr>
              <w:t>0.4710</w:t>
            </w:r>
          </w:p>
        </w:tc>
        <w:tc>
          <w:tcPr>
            <w:tcW w:type="dxa" w:w="1512"/>
          </w:tcPr>
          <w:p>
            <w:r/>
            <w:r>
              <w:rPr>
                <w:sz w:val="16"/>
              </w:rPr>
              <w:t>1.27x</w:t>
            </w:r>
          </w:p>
        </w:tc>
      </w:tr>
      <w:tr>
        <w:tc>
          <w:tcPr>
            <w:tcW w:type="dxa" w:w="1656"/>
          </w:tcPr>
          <w:p>
            <w:r/>
            <w:r>
              <w:rPr>
                <w:sz w:val="16"/>
              </w:rPr>
              <w:t>13</w:t>
            </w:r>
          </w:p>
        </w:tc>
        <w:tc>
          <w:tcPr>
            <w:tcW w:type="dxa" w:w="2160"/>
          </w:tcPr>
          <w:p>
            <w:r/>
            <w:r>
              <w:rPr>
                <w:sz w:val="16"/>
              </w:rPr>
              <w:t>4.6935</w:t>
            </w:r>
          </w:p>
        </w:tc>
        <w:tc>
          <w:tcPr>
            <w:tcW w:type="dxa" w:w="2160"/>
          </w:tcPr>
          <w:p>
            <w:r/>
            <w:r>
              <w:rPr>
                <w:sz w:val="16"/>
              </w:rPr>
              <w:t>6.5684</w:t>
            </w:r>
          </w:p>
        </w:tc>
        <w:tc>
          <w:tcPr>
            <w:tcW w:type="dxa" w:w="1512"/>
          </w:tcPr>
          <w:p>
            <w:r/>
            <w:r>
              <w:rPr>
                <w:sz w:val="16"/>
              </w:rPr>
              <w:t>1.40x</w:t>
            </w:r>
          </w:p>
        </w:tc>
      </w:tr>
      <w:tr>
        <w:tc>
          <w:tcPr>
            <w:tcW w:type="dxa" w:w="1656"/>
          </w:tcPr>
          <w:p>
            <w:r/>
            <w:r>
              <w:rPr>
                <w:b/>
                <w:sz w:val="16"/>
              </w:rPr>
              <w:t>Total</w:t>
            </w:r>
          </w:p>
        </w:tc>
        <w:tc>
          <w:tcPr>
            <w:tcW w:type="dxa" w:w="2160"/>
          </w:tcPr>
          <w:p>
            <w:r/>
            <w:r>
              <w:rPr>
                <w:b/>
                <w:sz w:val="16"/>
              </w:rPr>
              <w:t>79.406</w:t>
            </w:r>
          </w:p>
        </w:tc>
        <w:tc>
          <w:tcPr>
            <w:tcW w:type="dxa" w:w="2160"/>
          </w:tcPr>
          <w:p>
            <w:r/>
            <w:r>
              <w:rPr>
                <w:b/>
                <w:sz w:val="16"/>
              </w:rPr>
              <w:t>109.389</w:t>
            </w:r>
          </w:p>
        </w:tc>
        <w:tc>
          <w:tcPr>
            <w:tcW w:type="dxa" w:w="1512"/>
          </w:tcPr>
          <w:p>
            <w:r/>
            <w:r>
              <w:rPr>
                <w:b/>
                <w:sz w:val="16"/>
              </w:rPr>
              <w:t>1.38x</w:t>
            </w:r>
          </w:p>
        </w:tc>
      </w:tr>
      <w:tr>
        <w:tc>
          <w:tcPr>
            <w:tcW w:type="dxa" w:w="1656"/>
          </w:tcPr>
          <w:p>
            <w:r/>
            <w:r>
              <w:rPr>
                <w:b/>
                <w:sz w:val="16"/>
              </w:rPr>
              <w:t>Geometric mean</w:t>
            </w:r>
          </w:p>
        </w:tc>
        <w:tc>
          <w:tcPr>
            <w:tcW w:type="dxa" w:w="2160"/>
          </w:tcPr>
          <w:p>
            <w:r/>
            <w:r>
              <w:rPr>
                <w:b/>
                <w:sz w:val="16"/>
              </w:rPr>
              <w:t>n/a</w:t>
            </w:r>
          </w:p>
        </w:tc>
        <w:tc>
          <w:tcPr>
            <w:tcW w:type="dxa" w:w="2160"/>
          </w:tcPr>
          <w:p>
            <w:r/>
            <w:r>
              <w:rPr>
                <w:b/>
                <w:sz w:val="16"/>
              </w:rPr>
              <w:t>n/a</w:t>
            </w:r>
          </w:p>
        </w:tc>
        <w:tc>
          <w:tcPr>
            <w:tcW w:type="dxa" w:w="1512"/>
          </w:tcPr>
          <w:p>
            <w:r/>
            <w:r>
              <w:rPr>
                <w:b/>
                <w:sz w:val="16"/>
              </w:rPr>
              <w:t>1.52x</w:t>
            </w:r>
          </w:p>
        </w:tc>
      </w:tr>
    </w:tbl>
    <w:p>
      <w:pPr>
        <w:spacing w:after="40"/>
      </w:pPr>
    </w:p>
    <w:p>
      <w:pPr>
        <w:spacing w:after="140"/>
        <w:jc w:val="left"/>
      </w:pPr>
      <w:r>
        <w:rPr>
          <w:i/>
          <w:sz w:val="17"/>
        </w:rPr>
        <w:t>Table 6: Fusion ablation across all 13 comparable shapes. Accuracy PASS in every run of both configurations. The two aggregates differ because the summed-time ratio is dominated by shape #6, which alone is 80% of the total; the geometric mean weights each shape equally, so it has no meaningful millisecond total of its own.</w:t>
      </w:r>
    </w:p>
    <w:p>
      <w:r>
        <w:rPr>
          <w:b w:val="0"/>
          <w:i w:val="0"/>
        </w:rPr>
        <w:t>These absolute times are not comparable with Table 5: that sweep uses 100 warmup iterations and 100 repeats over 3 rounds, this ablation 20 and 60 over 2, and calibration picks precision, capture and fusion from measurements that depend on those counts. Shapes #4, #9 and #12 sit near those decision boundaries and differ most, by up to 91% on #12. Only the within-row ratio is meaningful here.</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1.52x by geometric mean, and win on all 13 shapes.</w:t>
      </w:r>
      <w:r>
        <w:rPr>
          <w:b w:val="0"/>
          <w:i w:val="0"/>
        </w:rPr>
        <w:t xml:space="preserve"> The summed-time ratio is 1.38x, but that figure is dominated by shape #6, which alone is 80% of the total; the geometric mean weights each shape equally and is the statistic the headline speedup in Section 6 also uses. The gain is largest on the small-to-medium shapes (#1, #2, #7, #10 all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r>
        <w:rPr>
          <w:b/>
          <w:i w:val="0"/>
        </w:rPr>
        <w:t xml:space="preserve">‡ </w:t>
      </w:r>
      <w:r>
        <w:rPr>
          <w:b w:val="0"/>
          <w:i w:val="0"/>
        </w:rPr>
        <w:t>Shape #6 is the noisiest in the suite. Over five runs per mode the medians are 62.96 ms fused against 87.78 ms unfused, but the samples span 61.30-93.80 and 86.28-176.49 respectively, so the ranges overlap at the tails. Four of five in each mode cluster tightly (61-78, 86-88), which is what the medians reflect: the direction is not in doubt, the precise magnitude is.</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over a 12-shape subset showed it was losing throughput: 16.687 ms with the fusions forced on, 17.834 ms under the gate, and 21.468 ms with fusion off. (Historical; Table 6 gives the shipping result on the current code.)</w:t>
      </w:r>
    </w:p>
    <w:p>
      <w:r>
        <w:rPr>
          <w:b w:val="0"/>
          <w:i w:val="0"/>
        </w:rPr>
        <w:t>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use fp32, and the reason is speed rather than accuracy: fp16's error bound was 1.65e-3 against a 2.0e-3 budget on both, comfortably inside it, but fp16 measured slower — 0.946 against 0.729 ms on #3, 1.967 against 1.375 ms on #4. The partition is not monotonic in any shape parameter: B=1 adopts fp16, B=4 and B=16 do not, B=64 and above do again.</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160"/>
            <w:shd w:fill="E8EDF3"/>
          </w:tcPr>
          <w:p>
            <w:r/>
            <w:r>
              <w:rPr>
                <w:b/>
                <w:sz w:val="17"/>
              </w:rPr>
              <w:t>Version / model</w:t>
            </w:r>
          </w:p>
        </w:tc>
        <w:tc>
          <w:tcPr>
            <w:tcW w:type="dxa" w:w="4176"/>
            <w:shd w:fill="E8EDF3"/>
          </w:tcPr>
          <w:p>
            <w:r/>
            <w:r>
              <w:rPr>
                <w:b/>
                <w:sz w:val="17"/>
              </w:rPr>
              <w:t>Role</w:t>
            </w:r>
          </w:p>
        </w:tc>
      </w:tr>
      <w:tr>
        <w:tc>
          <w:tcPr>
            <w:tcW w:type="dxa" w:w="1800"/>
          </w:tcPr>
          <w:p>
            <w:r/>
            <w:r>
              <w:rPr>
                <w:sz w:val="16"/>
              </w:rPr>
              <w:t>Claude Code</w:t>
            </w:r>
          </w:p>
        </w:tc>
        <w:tc>
          <w:tcPr>
            <w:tcW w:type="dxa" w:w="2160"/>
          </w:tcPr>
          <w:p>
            <w:r/>
            <w:r>
              <w:rPr>
                <w:sz w:val="16"/>
              </w:rPr>
              <w:t>Claude Opus 5</w:t>
            </w:r>
          </w:p>
        </w:tc>
        <w:tc>
          <w:tcPr>
            <w:tcW w:type="dxa" w:w="4176"/>
          </w:tcPr>
          <w:p>
            <w:r/>
            <w:r>
              <w:rPr>
                <w:sz w:val="16"/>
              </w:rPr>
              <w:t>Primary development agent: analysis, implementation, instrumentation, debugging, documentation</w:t>
            </w:r>
          </w:p>
        </w:tc>
      </w:tr>
      <w:tr>
        <w:tc>
          <w:tcPr>
            <w:tcW w:type="dxa" w:w="1800"/>
          </w:tcPr>
          <w:p>
            <w:r/>
            <w:r>
              <w:rPr>
                <w:sz w:val="16"/>
              </w:rPr>
              <w:t>PyTorch</w:t>
            </w:r>
          </w:p>
        </w:tc>
        <w:tc>
          <w:tcPr>
            <w:tcW w:type="dxa" w:w="2160"/>
          </w:tcPr>
          <w:p>
            <w:r/>
            <w:r>
              <w:rPr>
                <w:sz w:val="16"/>
              </w:rPr>
              <w:t>2.6.0+cu124</w:t>
            </w:r>
          </w:p>
        </w:tc>
        <w:tc>
          <w:tcPr>
            <w:tcW w:type="dxa" w:w="4176"/>
          </w:tcPr>
          <w:p>
            <w:r/>
            <w:r>
              <w:rPr>
                <w:sz w:val="16"/>
              </w:rPr>
              <w:t>Reference and optimized paths, SDPA, graph capture</w:t>
            </w:r>
          </w:p>
        </w:tc>
      </w:tr>
      <w:tr>
        <w:tc>
          <w:tcPr>
            <w:tcW w:type="dxa" w:w="1800"/>
          </w:tcPr>
          <w:p>
            <w:r/>
            <w:r>
              <w:rPr>
                <w:sz w:val="16"/>
              </w:rPr>
              <w:t>Triton</w:t>
            </w:r>
          </w:p>
        </w:tc>
        <w:tc>
          <w:tcPr>
            <w:tcW w:type="dxa" w:w="2160"/>
          </w:tcPr>
          <w:p>
            <w:r/>
            <w:r>
              <w:rPr>
                <w:sz w:val="16"/>
              </w:rPr>
              <w:t>triton-windows 3.2.0.post21</w:t>
            </w:r>
          </w:p>
        </w:tc>
        <w:tc>
          <w:tcPr>
            <w:tcW w:type="dxa" w:w="4176"/>
          </w:tcPr>
          <w:p>
            <w:r/>
            <w:r>
              <w:rPr>
                <w:sz w:val="16"/>
              </w:rPr>
              <w:t>The fused residual+LayerNorm+cast kernel</w:t>
            </w:r>
          </w:p>
        </w:tc>
      </w:tr>
      <w:tr>
        <w:tc>
          <w:tcPr>
            <w:tcW w:type="dxa" w:w="1800"/>
          </w:tcPr>
          <w:p>
            <w:r/>
            <w:r>
              <w:rPr>
                <w:sz w:val="16"/>
              </w:rPr>
              <w:t>cuBLASLt</w:t>
            </w:r>
          </w:p>
        </w:tc>
        <w:tc>
          <w:tcPr>
            <w:tcW w:type="dxa" w:w="2160"/>
          </w:tcPr>
          <w:p>
            <w:r/>
            <w:r>
              <w:rPr>
                <w:sz w:val="16"/>
              </w:rPr>
              <w:t>via torch._addmm_activation</w:t>
            </w:r>
          </w:p>
        </w:tc>
        <w:tc>
          <w:tcPr>
            <w:tcW w:type="dxa" w:w="4176"/>
          </w:tcPr>
          <w:p>
            <w:r/>
            <w:r>
              <w:rPr>
                <w:sz w:val="16"/>
              </w:rPr>
              <w:t>Fused GEMM+GELU epilogue</w:t>
            </w:r>
          </w:p>
        </w:tc>
      </w:tr>
    </w:tbl>
    <w:p>
      <w:pPr>
        <w:spacing w:after="40"/>
      </w:pPr>
    </w:p>
    <w:p>
      <w:pPr>
        <w:spacing w:after="140"/>
        <w:jc w:val="left"/>
      </w:pPr>
      <w:r>
        <w:rPr>
          <w:i/>
          <w:sz w:val="17"/>
        </w:rPr>
        <w:t>Table 7: Development tooling. Editing in VS Code; figures via matplotlib, and this report generated from a script so it rebuilds when a measurement changes.</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where we would otherwise have reasoned and moved on. Human judgment stayed with what to measure and which hypothesis each test had to falsify.</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The point worth repeating is the shape of the mistake: our first fix inverted the gate's direction and changed nothing, which is what forced us to look at the measurement rather than the threshold.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w:t>
      </w:r>
    </w:p>
    <w:p>
      <w:pPr>
        <w:pStyle w:val="ListBullet"/>
        <w:spacing w:after="60"/>
      </w:pPr>
      <w:r>
        <w:rPr>
          <w:b/>
        </w:rPr>
        <w:t xml:space="preserve">Single-GPU validation. </w:t>
      </w:r>
      <w:r>
        <w:t>Decisions are made at runtime,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A hand-written Triton attention kernel could go further than SDPA can: its epilogue is fixed, so the output projection and the residual add must each be a separate pass over the [B, S, d] activation. Fusing them into the FlashAttention epilogue would remove an HBM round-trip per layer, which is where we would look for the next increment.</w:t>
      </w:r>
    </w:p>
    <w:p>
      <w:pPr>
        <w:pStyle w:val="Heading1"/>
      </w:pPr>
      <w:r>
        <w:t>11. Conclusion</w:t>
      </w:r>
    </w:p>
    <w:p>
      <w:r>
        <w:rPr>
          <w:b w:val="0"/>
          <w:i w:val="0"/>
        </w:rPr>
        <w:t>We achieve a 10.014x geometric-mean speedup across the thirteen comparable shapes, correct on every one under the task's tolerance, and additionally execute the fourteenth — for which no reference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Tillet, P., Kung, H. T., Cox, D. Triton: An Intermediate Language and Compiler for Tiled Neural Network Computations. MAPL, 2019.</w:t>
      </w:r>
    </w:p>
    <w:p>
      <w:pPr>
        <w:spacing w:after="100"/>
        <w:ind w:left="504" w:hanging="504"/>
      </w:pPr>
      <w:r>
        <w:rPr>
          <w:sz w:val="20"/>
        </w:rPr>
        <w:t>[4]  Micikevicius, P. et al. Mixed Precision Training. ICLR, 2018.</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Single shapes go through the benchmark script directly; the README lists all fourteen. Shape #14 needs three things together, and refuses with an explicit out-of-memory message if any one is missing:</w:t>
      </w:r>
    </w:p>
    <w:p>
      <w:pPr>
        <w:spacing w:before="80" w:after="120"/>
        <w:ind w:left="360"/>
        <w:shd w:fill="F2F4F7"/>
      </w:pPr>
      <w:r>
        <w:rPr>
          <w:rFonts w:ascii="Consolas" w:hAnsi="Consolas"/>
          <w:sz w:val="17"/>
        </w:rPr>
        <w:t>TJ_INPLACE_OUTPUT=1 python torch_transformer_benchmark.py \</w:t>
        <w:br/>
      </w:r>
      <w:r>
        <w:rPr>
          <w:rFonts w:ascii="Consolas" w:hAnsi="Consolas"/>
          <w:sz w:val="17"/>
        </w:rPr>
        <w:t xml:space="preserve">  --batch-size 32 --d-model 1024 --heads 16 --seq-len 100000 \</w:t>
        <w:br/>
      </w:r>
      <w:r>
        <w:rPr>
          <w:rFonts w:ascii="Consolas" w:hAnsi="Consolas"/>
          <w:sz w:val="17"/>
        </w:rPr>
        <w:t xml:space="preserve">  --layers 2 --ffn-dim 1024 --causal --optimized-only --dtype float16</w:t>
      </w:r>
    </w:p>
    <w:p>
      <w:r>
        <w:rPr>
          <w:b w:val="0"/>
          <w:i w:val="0"/>
        </w:rPr>
        <w:t>--optimized-only because the reference cannot be constructed; float16 because at fp32 the input alone is 12.21 GiB against 11.99 GiB of VRAM; and TJ_INPLACE_OUTPUT because even at fp16 the input plus a separate output is 12.21 GiB, while aliasing them needs one 6.10 GiB buffer. run_optimized_only.py is preferable for this shape: the environment variable overwrites the input, which the benchmark script reuses across timing iterations, so latency stays valid but the output after the first call is not meaningful.</w:t>
      </w:r>
    </w:p>
    <w:p>
      <w:r>
        <w:rPr>
          <w:b w:val="0"/>
          <w:i w:val="0"/>
        </w:rPr>
        <w:t>The sweep takes roughly fifteen minutes, the majority of it in shape #6, where the reference implementation is the slow component. Expect all 13 comparable shapes to pass; #14 has no runnable reference and is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