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An optimized forward path achieving 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60"/>
      </w:pPr>
      <w:r>
        <w:rPr>
          <w:b/>
        </w:rPr>
        <w:t xml:space="preserve">Feasibility. </w:t>
      </w:r>
      <w:r>
        <w:t>Execution of a shape whose reference implementation is physically impossible to run, via memory-aware slicing and output aliasing.</w:t>
      </w:r>
    </w:p>
    <w:p>
      <w:pPr>
        <w:pStyle w:val="ListBullet"/>
        <w:spacing w:after="60"/>
      </w:pPr>
      <w:r>
        <w:rPr>
          <w:b/>
        </w:rPr>
        <w:t xml:space="preserve">Ablation. </w:t>
      </w:r>
      <w:r>
        <w:t>A per-shape ablation isolating the fusion contribution, plus a five-mode study that overturned our own initial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Our calibration timer had to mirror that exactly - synchronizing per call drains the launch queue and lets the host catch up, making launch-bound shapes measure artificially cheap. On shape #13 that is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This is also why run_all_shapes.py reports #14 as OOM: the sweep runs fp32, where the shape genuinely does not fit. That refusal is the preflight check working, not a failure of the optimized path.</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656"/>
            <w:shd w:fill="E8EDF3"/>
          </w:tcPr>
          <w:p>
            <w:r/>
            <w:r>
              <w:rPr>
                <w:b/>
                <w:sz w:val="17"/>
              </w:rPr>
              <w:t>Shape</w:t>
            </w:r>
          </w:p>
        </w:tc>
        <w:tc>
          <w:tcPr>
            <w:tcW w:type="dxa" w:w="2160"/>
            <w:shd w:fill="E8EDF3"/>
          </w:tcPr>
          <w:p>
            <w:r/>
            <w:r>
              <w:rPr>
                <w:b/>
                <w:sz w:val="17"/>
              </w:rPr>
              <w:t>Fusion on (ms)</w:t>
            </w:r>
          </w:p>
        </w:tc>
        <w:tc>
          <w:tcPr>
            <w:tcW w:type="dxa" w:w="2160"/>
            <w:shd w:fill="E8EDF3"/>
          </w:tcPr>
          <w:p>
            <w:r/>
            <w:r>
              <w:rPr>
                <w:b/>
                <w:sz w:val="17"/>
              </w:rPr>
              <w:t>Fusion off (ms)</w:t>
            </w:r>
          </w:p>
        </w:tc>
        <w:tc>
          <w:tcPr>
            <w:tcW w:type="dxa" w:w="1512"/>
            <w:shd w:fill="E8EDF3"/>
          </w:tcPr>
          <w:p>
            <w:r/>
            <w:r>
              <w:rPr>
                <w:b/>
                <w:sz w:val="17"/>
              </w:rPr>
              <w:t>Gain</w:t>
            </w:r>
          </w:p>
        </w:tc>
      </w:tr>
      <w:tr>
        <w:tc>
          <w:tcPr>
            <w:tcW w:type="dxa" w:w="1656"/>
          </w:tcPr>
          <w:p>
            <w:r/>
            <w:r>
              <w:rPr>
                <w:sz w:val="16"/>
              </w:rPr>
              <w:t>1</w:t>
            </w:r>
          </w:p>
        </w:tc>
        <w:tc>
          <w:tcPr>
            <w:tcW w:type="dxa" w:w="2160"/>
          </w:tcPr>
          <w:p>
            <w:r/>
            <w:r>
              <w:rPr>
                <w:sz w:val="16"/>
              </w:rPr>
              <w:t>0.3584</w:t>
            </w:r>
          </w:p>
        </w:tc>
        <w:tc>
          <w:tcPr>
            <w:tcW w:type="dxa" w:w="2160"/>
          </w:tcPr>
          <w:p>
            <w:r/>
            <w:r>
              <w:rPr>
                <w:sz w:val="16"/>
              </w:rPr>
              <w:t>0.7311</w:t>
            </w:r>
          </w:p>
        </w:tc>
        <w:tc>
          <w:tcPr>
            <w:tcW w:type="dxa" w:w="1512"/>
          </w:tcPr>
          <w:p>
            <w:r/>
            <w:r>
              <w:rPr>
                <w:sz w:val="16"/>
              </w:rPr>
              <w:t>2.04x</w:t>
            </w:r>
          </w:p>
        </w:tc>
      </w:tr>
      <w:tr>
        <w:tc>
          <w:tcPr>
            <w:tcW w:type="dxa" w:w="1656"/>
          </w:tcPr>
          <w:p>
            <w:r/>
            <w:r>
              <w:rPr>
                <w:sz w:val="16"/>
              </w:rPr>
              <w:t>2</w:t>
            </w:r>
          </w:p>
        </w:tc>
        <w:tc>
          <w:tcPr>
            <w:tcW w:type="dxa" w:w="2160"/>
          </w:tcPr>
          <w:p>
            <w:r/>
            <w:r>
              <w:rPr>
                <w:sz w:val="16"/>
              </w:rPr>
              <w:t>0.1208</w:t>
            </w:r>
          </w:p>
        </w:tc>
        <w:tc>
          <w:tcPr>
            <w:tcW w:type="dxa" w:w="2160"/>
          </w:tcPr>
          <w:p>
            <w:r/>
            <w:r>
              <w:rPr>
                <w:sz w:val="16"/>
              </w:rPr>
              <w:t>0.2273</w:t>
            </w:r>
          </w:p>
        </w:tc>
        <w:tc>
          <w:tcPr>
            <w:tcW w:type="dxa" w:w="1512"/>
          </w:tcPr>
          <w:p>
            <w:r/>
            <w:r>
              <w:rPr>
                <w:sz w:val="16"/>
              </w:rPr>
              <w:t>1.88x</w:t>
            </w:r>
          </w:p>
        </w:tc>
      </w:tr>
      <w:tr>
        <w:tc>
          <w:tcPr>
            <w:tcW w:type="dxa" w:w="1656"/>
          </w:tcPr>
          <w:p>
            <w:r/>
            <w:r>
              <w:rPr>
                <w:sz w:val="16"/>
              </w:rPr>
              <w:t>3</w:t>
            </w:r>
          </w:p>
        </w:tc>
        <w:tc>
          <w:tcPr>
            <w:tcW w:type="dxa" w:w="2160"/>
          </w:tcPr>
          <w:p>
            <w:r/>
            <w:r>
              <w:rPr>
                <w:sz w:val="16"/>
              </w:rPr>
              <w:t>0.2099</w:t>
            </w:r>
          </w:p>
        </w:tc>
        <w:tc>
          <w:tcPr>
            <w:tcW w:type="dxa" w:w="2160"/>
          </w:tcPr>
          <w:p>
            <w:r/>
            <w:r>
              <w:rPr>
                <w:sz w:val="16"/>
              </w:rPr>
              <w:t>0.2345</w:t>
            </w:r>
          </w:p>
        </w:tc>
        <w:tc>
          <w:tcPr>
            <w:tcW w:type="dxa" w:w="1512"/>
          </w:tcPr>
          <w:p>
            <w:r/>
            <w:r>
              <w:rPr>
                <w:sz w:val="16"/>
              </w:rPr>
              <w:t>1.12x</w:t>
            </w:r>
          </w:p>
        </w:tc>
      </w:tr>
      <w:tr>
        <w:tc>
          <w:tcPr>
            <w:tcW w:type="dxa" w:w="1656"/>
          </w:tcPr>
          <w:p>
            <w:r/>
            <w:r>
              <w:rPr>
                <w:sz w:val="16"/>
              </w:rPr>
              <w:t>4</w:t>
            </w:r>
          </w:p>
        </w:tc>
        <w:tc>
          <w:tcPr>
            <w:tcW w:type="dxa" w:w="2160"/>
          </w:tcPr>
          <w:p>
            <w:r/>
            <w:r>
              <w:rPr>
                <w:sz w:val="16"/>
              </w:rPr>
              <w:t>0.3779</w:t>
            </w:r>
          </w:p>
        </w:tc>
        <w:tc>
          <w:tcPr>
            <w:tcW w:type="dxa" w:w="2160"/>
          </w:tcPr>
          <w:p>
            <w:r/>
            <w:r>
              <w:rPr>
                <w:sz w:val="16"/>
              </w:rPr>
              <w:t>0.4485</w:t>
            </w:r>
          </w:p>
        </w:tc>
        <w:tc>
          <w:tcPr>
            <w:tcW w:type="dxa" w:w="1512"/>
          </w:tcPr>
          <w:p>
            <w:r/>
            <w:r>
              <w:rPr>
                <w:sz w:val="16"/>
              </w:rPr>
              <w:t>1.19x †</w:t>
            </w:r>
          </w:p>
        </w:tc>
      </w:tr>
      <w:tr>
        <w:tc>
          <w:tcPr>
            <w:tcW w:type="dxa" w:w="1656"/>
          </w:tcPr>
          <w:p>
            <w:r/>
            <w:r>
              <w:rPr>
                <w:sz w:val="16"/>
              </w:rPr>
              <w:t>5</w:t>
            </w:r>
          </w:p>
        </w:tc>
        <w:tc>
          <w:tcPr>
            <w:tcW w:type="dxa" w:w="2160"/>
          </w:tcPr>
          <w:p>
            <w:r/>
            <w:r>
              <w:rPr>
                <w:sz w:val="16"/>
              </w:rPr>
              <w:t>0.6431</w:t>
            </w:r>
          </w:p>
        </w:tc>
        <w:tc>
          <w:tcPr>
            <w:tcW w:type="dxa" w:w="2160"/>
          </w:tcPr>
          <w:p>
            <w:r/>
            <w:r>
              <w:rPr>
                <w:sz w:val="16"/>
              </w:rPr>
              <w:t>1.1141</w:t>
            </w:r>
          </w:p>
        </w:tc>
        <w:tc>
          <w:tcPr>
            <w:tcW w:type="dxa" w:w="1512"/>
          </w:tcPr>
          <w:p>
            <w:r/>
            <w:r>
              <w:rPr>
                <w:sz w:val="16"/>
              </w:rPr>
              <w:t>1.73x</w:t>
            </w:r>
          </w:p>
        </w:tc>
      </w:tr>
      <w:tr>
        <w:tc>
          <w:tcPr>
            <w:tcW w:type="dxa" w:w="1656"/>
          </w:tcPr>
          <w:p>
            <w:r/>
            <w:r>
              <w:rPr>
                <w:sz w:val="16"/>
              </w:rPr>
              <w:t>6</w:t>
            </w:r>
          </w:p>
        </w:tc>
        <w:tc>
          <w:tcPr>
            <w:tcW w:type="dxa" w:w="2160"/>
          </w:tcPr>
          <w:p>
            <w:r/>
            <w:r>
              <w:rPr>
                <w:sz w:val="16"/>
              </w:rPr>
              <w:t>62.9612</w:t>
            </w:r>
          </w:p>
        </w:tc>
        <w:tc>
          <w:tcPr>
            <w:tcW w:type="dxa" w:w="2160"/>
          </w:tcPr>
          <w:p>
            <w:r/>
            <w:r>
              <w:rPr>
                <w:sz w:val="16"/>
              </w:rPr>
              <w:t>87.7768</w:t>
            </w:r>
          </w:p>
        </w:tc>
        <w:tc>
          <w:tcPr>
            <w:tcW w:type="dxa" w:w="1512"/>
          </w:tcPr>
          <w:p>
            <w:r/>
            <w:r>
              <w:rPr>
                <w:sz w:val="16"/>
              </w:rPr>
              <w:t>1.39x ‡</w:t>
            </w:r>
          </w:p>
        </w:tc>
      </w:tr>
      <w:tr>
        <w:tc>
          <w:tcPr>
            <w:tcW w:type="dxa" w:w="1656"/>
          </w:tcPr>
          <w:p>
            <w:r/>
            <w:r>
              <w:rPr>
                <w:sz w:val="16"/>
              </w:rPr>
              <w:t>7</w:t>
            </w:r>
          </w:p>
        </w:tc>
        <w:tc>
          <w:tcPr>
            <w:tcW w:type="dxa" w:w="2160"/>
          </w:tcPr>
          <w:p>
            <w:r/>
            <w:r>
              <w:rPr>
                <w:sz w:val="16"/>
              </w:rPr>
              <w:t>0.1956</w:t>
            </w:r>
          </w:p>
        </w:tc>
        <w:tc>
          <w:tcPr>
            <w:tcW w:type="dxa" w:w="2160"/>
          </w:tcPr>
          <w:p>
            <w:r/>
            <w:r>
              <w:rPr>
                <w:sz w:val="16"/>
              </w:rPr>
              <w:t>0.3881</w:t>
            </w:r>
          </w:p>
        </w:tc>
        <w:tc>
          <w:tcPr>
            <w:tcW w:type="dxa" w:w="1512"/>
          </w:tcPr>
          <w:p>
            <w:r/>
            <w:r>
              <w:rPr>
                <w:sz w:val="16"/>
              </w:rPr>
              <w:t>1.98x</w:t>
            </w:r>
          </w:p>
        </w:tc>
      </w:tr>
      <w:tr>
        <w:tc>
          <w:tcPr>
            <w:tcW w:type="dxa" w:w="1656"/>
          </w:tcPr>
          <w:p>
            <w:r/>
            <w:r>
              <w:rPr>
                <w:sz w:val="16"/>
              </w:rPr>
              <w:t>8</w:t>
            </w:r>
          </w:p>
        </w:tc>
        <w:tc>
          <w:tcPr>
            <w:tcW w:type="dxa" w:w="2160"/>
          </w:tcPr>
          <w:p>
            <w:r/>
            <w:r>
              <w:rPr>
                <w:sz w:val="16"/>
              </w:rPr>
              <w:t>8.0865</w:t>
            </w:r>
          </w:p>
        </w:tc>
        <w:tc>
          <w:tcPr>
            <w:tcW w:type="dxa" w:w="2160"/>
          </w:tcPr>
          <w:p>
            <w:r/>
            <w:r>
              <w:rPr>
                <w:sz w:val="16"/>
              </w:rPr>
              <w:t>9.1116</w:t>
            </w:r>
          </w:p>
        </w:tc>
        <w:tc>
          <w:tcPr>
            <w:tcW w:type="dxa" w:w="1512"/>
          </w:tcPr>
          <w:p>
            <w:r/>
            <w:r>
              <w:rPr>
                <w:sz w:val="16"/>
              </w:rPr>
              <w:t>1.13x</w:t>
            </w:r>
          </w:p>
        </w:tc>
      </w:tr>
      <w:tr>
        <w:tc>
          <w:tcPr>
            <w:tcW w:type="dxa" w:w="1656"/>
          </w:tcPr>
          <w:p>
            <w:r/>
            <w:r>
              <w:rPr>
                <w:sz w:val="16"/>
              </w:rPr>
              <w:t>9</w:t>
            </w:r>
          </w:p>
        </w:tc>
        <w:tc>
          <w:tcPr>
            <w:tcW w:type="dxa" w:w="2160"/>
          </w:tcPr>
          <w:p>
            <w:r/>
            <w:r>
              <w:rPr>
                <w:sz w:val="16"/>
              </w:rPr>
              <w:t>0.5222</w:t>
            </w:r>
          </w:p>
        </w:tc>
        <w:tc>
          <w:tcPr>
            <w:tcW w:type="dxa" w:w="2160"/>
          </w:tcPr>
          <w:p>
            <w:r/>
            <w:r>
              <w:rPr>
                <w:sz w:val="16"/>
              </w:rPr>
              <w:t>0.8284</w:t>
            </w:r>
          </w:p>
        </w:tc>
        <w:tc>
          <w:tcPr>
            <w:tcW w:type="dxa" w:w="1512"/>
          </w:tcPr>
          <w:p>
            <w:r/>
            <w:r>
              <w:rPr>
                <w:sz w:val="16"/>
              </w:rPr>
              <w:t>1.59x</w:t>
            </w:r>
          </w:p>
        </w:tc>
      </w:tr>
      <w:tr>
        <w:tc>
          <w:tcPr>
            <w:tcW w:type="dxa" w:w="1656"/>
          </w:tcPr>
          <w:p>
            <w:r/>
            <w:r>
              <w:rPr>
                <w:sz w:val="16"/>
              </w:rPr>
              <w:t>10</w:t>
            </w:r>
          </w:p>
        </w:tc>
        <w:tc>
          <w:tcPr>
            <w:tcW w:type="dxa" w:w="2160"/>
          </w:tcPr>
          <w:p>
            <w:r/>
            <w:r>
              <w:rPr>
                <w:sz w:val="16"/>
              </w:rPr>
              <w:t>0.3369</w:t>
            </w:r>
          </w:p>
        </w:tc>
        <w:tc>
          <w:tcPr>
            <w:tcW w:type="dxa" w:w="2160"/>
          </w:tcPr>
          <w:p>
            <w:r/>
            <w:r>
              <w:rPr>
                <w:sz w:val="16"/>
              </w:rPr>
              <w:t>0.7055</w:t>
            </w:r>
          </w:p>
        </w:tc>
        <w:tc>
          <w:tcPr>
            <w:tcW w:type="dxa" w:w="1512"/>
          </w:tcPr>
          <w:p>
            <w:r/>
            <w:r>
              <w:rPr>
                <w:sz w:val="16"/>
              </w:rPr>
              <w:t>2.09x</w:t>
            </w:r>
          </w:p>
        </w:tc>
      </w:tr>
      <w:tr>
        <w:tc>
          <w:tcPr>
            <w:tcW w:type="dxa" w:w="1656"/>
          </w:tcPr>
          <w:p>
            <w:r/>
            <w:r>
              <w:rPr>
                <w:sz w:val="16"/>
              </w:rPr>
              <w:t>11</w:t>
            </w:r>
          </w:p>
        </w:tc>
        <w:tc>
          <w:tcPr>
            <w:tcW w:type="dxa" w:w="2160"/>
          </w:tcPr>
          <w:p>
            <w:r/>
            <w:r>
              <w:rPr>
                <w:sz w:val="16"/>
              </w:rPr>
              <w:t>0.5294</w:t>
            </w:r>
          </w:p>
        </w:tc>
        <w:tc>
          <w:tcPr>
            <w:tcW w:type="dxa" w:w="2160"/>
          </w:tcPr>
          <w:p>
            <w:r/>
            <w:r>
              <w:rPr>
                <w:sz w:val="16"/>
              </w:rPr>
              <w:t>0.7839</w:t>
            </w:r>
          </w:p>
        </w:tc>
        <w:tc>
          <w:tcPr>
            <w:tcW w:type="dxa" w:w="1512"/>
          </w:tcPr>
          <w:p>
            <w:r/>
            <w:r>
              <w:rPr>
                <w:sz w:val="16"/>
              </w:rPr>
              <w:t>1.48x</w:t>
            </w:r>
          </w:p>
        </w:tc>
      </w:tr>
      <w:tr>
        <w:tc>
          <w:tcPr>
            <w:tcW w:type="dxa" w:w="1656"/>
          </w:tcPr>
          <w:p>
            <w:r/>
            <w:r>
              <w:rPr>
                <w:sz w:val="16"/>
              </w:rPr>
              <w:t>12</w:t>
            </w:r>
          </w:p>
        </w:tc>
        <w:tc>
          <w:tcPr>
            <w:tcW w:type="dxa" w:w="2160"/>
          </w:tcPr>
          <w:p>
            <w:r/>
            <w:r>
              <w:rPr>
                <w:sz w:val="16"/>
              </w:rPr>
              <w:t>0.3702</w:t>
            </w:r>
          </w:p>
        </w:tc>
        <w:tc>
          <w:tcPr>
            <w:tcW w:type="dxa" w:w="2160"/>
          </w:tcPr>
          <w:p>
            <w:r/>
            <w:r>
              <w:rPr>
                <w:sz w:val="16"/>
              </w:rPr>
              <w:t>0.4710</w:t>
            </w:r>
          </w:p>
        </w:tc>
        <w:tc>
          <w:tcPr>
            <w:tcW w:type="dxa" w:w="1512"/>
          </w:tcPr>
          <w:p>
            <w:r/>
            <w:r>
              <w:rPr>
                <w:sz w:val="16"/>
              </w:rPr>
              <w:t>1.27x</w:t>
            </w:r>
          </w:p>
        </w:tc>
      </w:tr>
      <w:tr>
        <w:tc>
          <w:tcPr>
            <w:tcW w:type="dxa" w:w="1656"/>
          </w:tcPr>
          <w:p>
            <w:r/>
            <w:r>
              <w:rPr>
                <w:sz w:val="16"/>
              </w:rPr>
              <w:t>13</w:t>
            </w:r>
          </w:p>
        </w:tc>
        <w:tc>
          <w:tcPr>
            <w:tcW w:type="dxa" w:w="2160"/>
          </w:tcPr>
          <w:p>
            <w:r/>
            <w:r>
              <w:rPr>
                <w:sz w:val="16"/>
              </w:rPr>
              <w:t>4.6935</w:t>
            </w:r>
          </w:p>
        </w:tc>
        <w:tc>
          <w:tcPr>
            <w:tcW w:type="dxa" w:w="2160"/>
          </w:tcPr>
          <w:p>
            <w:r/>
            <w:r>
              <w:rPr>
                <w:sz w:val="16"/>
              </w:rPr>
              <w:t>6.5684</w:t>
            </w:r>
          </w:p>
        </w:tc>
        <w:tc>
          <w:tcPr>
            <w:tcW w:type="dxa" w:w="1512"/>
          </w:tcPr>
          <w:p>
            <w:r/>
            <w:r>
              <w:rPr>
                <w:sz w:val="16"/>
              </w:rPr>
              <w:t>1.40x</w:t>
            </w:r>
          </w:p>
        </w:tc>
      </w:tr>
      <w:tr>
        <w:tc>
          <w:tcPr>
            <w:tcW w:type="dxa" w:w="1656"/>
          </w:tcPr>
          <w:p>
            <w:r/>
            <w:r>
              <w:rPr>
                <w:b/>
                <w:sz w:val="16"/>
              </w:rPr>
              <w:t>Geometric mean</w:t>
            </w:r>
          </w:p>
        </w:tc>
        <w:tc>
          <w:tcPr>
            <w:tcW w:type="dxa" w:w="2160"/>
          </w:tcPr>
          <w:p>
            <w:r/>
            <w:r>
              <w:rPr>
                <w:b/>
                <w:sz w:val="16"/>
              </w:rPr>
              <w:t>—</w:t>
            </w:r>
          </w:p>
        </w:tc>
        <w:tc>
          <w:tcPr>
            <w:tcW w:type="dxa" w:w="2160"/>
          </w:tcPr>
          <w:p>
            <w:r/>
            <w:r>
              <w:rPr>
                <w:b/>
                <w:sz w:val="16"/>
              </w:rPr>
              <w:t>—</w:t>
            </w:r>
          </w:p>
        </w:tc>
        <w:tc>
          <w:tcPr>
            <w:tcW w:type="dxa" w:w="1512"/>
          </w:tcPr>
          <w:p>
            <w:r/>
            <w:r>
              <w:rPr>
                <w:b/>
                <w:sz w:val="16"/>
              </w:rPr>
              <w:t>1.52x</w:t>
            </w:r>
          </w:p>
        </w:tc>
      </w:tr>
    </w:tbl>
    <w:p>
      <w:pPr>
        <w:spacing w:after="40"/>
      </w:pPr>
    </w:p>
    <w:p>
      <w:pPr>
        <w:spacing w:after="140"/>
        <w:jc w:val="left"/>
      </w:pPr>
      <w:r>
        <w:rPr>
          <w:i/>
          <w:sz w:val="17"/>
        </w:rPr>
        <w:t>Table 6: Fusion ablation across all 13 comparable shapes. Accuracy PASS in every run of both configurations.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016"/>
            <w:shd w:fill="E8EDF3"/>
          </w:tcPr>
          <w:p>
            <w:r/>
            <w:r>
              <w:rPr>
                <w:b/>
                <w:sz w:val="17"/>
              </w:rPr>
              <w:t>Version / model</w:t>
            </w:r>
          </w:p>
        </w:tc>
        <w:tc>
          <w:tcPr>
            <w:tcW w:type="dxa" w:w="4320"/>
            <w:shd w:fill="E8EDF3"/>
          </w:tcPr>
          <w:p>
            <w:r/>
            <w:r>
              <w:rPr>
                <w:b/>
                <w:sz w:val="17"/>
              </w:rPr>
              <w:t>Role</w:t>
            </w:r>
          </w:p>
        </w:tc>
      </w:tr>
      <w:tr>
        <w:tc>
          <w:tcPr>
            <w:tcW w:type="dxa" w:w="1800"/>
          </w:tcPr>
          <w:p>
            <w:r/>
            <w:r>
              <w:rPr>
                <w:sz w:val="16"/>
              </w:rPr>
              <w:t>Claude Code</w:t>
            </w:r>
          </w:p>
        </w:tc>
        <w:tc>
          <w:tcPr>
            <w:tcW w:type="dxa" w:w="2016"/>
          </w:tcPr>
          <w:p>
            <w:r/>
            <w:r>
              <w:rPr>
                <w:sz w:val="16"/>
              </w:rPr>
              <w:t>Claude Opus 5</w:t>
            </w:r>
          </w:p>
        </w:tc>
        <w:tc>
          <w:tcPr>
            <w:tcW w:type="dxa" w:w="4320"/>
          </w:tcPr>
          <w:p>
            <w:r/>
            <w:r>
              <w:rPr>
                <w:sz w:val="16"/>
              </w:rPr>
              <w:t>Primary development agent: analysis, implementation, instrumentation, debugging, documentation</w:t>
            </w:r>
          </w:p>
        </w:tc>
      </w:tr>
      <w:tr>
        <w:tc>
          <w:tcPr>
            <w:tcW w:type="dxa" w:w="1800"/>
          </w:tcPr>
          <w:p>
            <w:r/>
            <w:r>
              <w:rPr>
                <w:sz w:val="16"/>
              </w:rPr>
              <w:t>VS Code</w:t>
            </w:r>
          </w:p>
        </w:tc>
        <w:tc>
          <w:tcPr>
            <w:tcW w:type="dxa" w:w="2016"/>
          </w:tcPr>
          <w:p>
            <w:r/>
            <w:r>
              <w:rPr>
                <w:sz w:val="16"/>
              </w:rPr>
              <w:t>-</w:t>
            </w:r>
          </w:p>
        </w:tc>
        <w:tc>
          <w:tcPr>
            <w:tcW w:type="dxa" w:w="4320"/>
          </w:tcPr>
          <w:p>
            <w:r/>
            <w:r>
              <w:rPr>
                <w:sz w:val="16"/>
              </w:rPr>
              <w:t>Editor; Claude Code ran as the integrated agent</w:t>
            </w:r>
          </w:p>
        </w:tc>
      </w:tr>
      <w:tr>
        <w:tc>
          <w:tcPr>
            <w:tcW w:type="dxa" w:w="1800"/>
          </w:tcPr>
          <w:p>
            <w:r/>
            <w:r>
              <w:rPr>
                <w:sz w:val="16"/>
              </w:rPr>
              <w:t>PyTorch</w:t>
            </w:r>
          </w:p>
        </w:tc>
        <w:tc>
          <w:tcPr>
            <w:tcW w:type="dxa" w:w="2016"/>
          </w:tcPr>
          <w:p>
            <w:r/>
            <w:r>
              <w:rPr>
                <w:sz w:val="16"/>
              </w:rPr>
              <w:t>2.6.0+cu124</w:t>
            </w:r>
          </w:p>
        </w:tc>
        <w:tc>
          <w:tcPr>
            <w:tcW w:type="dxa" w:w="4320"/>
          </w:tcPr>
          <w:p>
            <w:r/>
            <w:r>
              <w:rPr>
                <w:sz w:val="16"/>
              </w:rPr>
              <w:t>Reference and optimized paths, SDPA, graph capture</w:t>
            </w:r>
          </w:p>
        </w:tc>
      </w:tr>
      <w:tr>
        <w:tc>
          <w:tcPr>
            <w:tcW w:type="dxa" w:w="1800"/>
          </w:tcPr>
          <w:p>
            <w:r/>
            <w:r>
              <w:rPr>
                <w:sz w:val="16"/>
              </w:rPr>
              <w:t>Triton</w:t>
            </w:r>
          </w:p>
        </w:tc>
        <w:tc>
          <w:tcPr>
            <w:tcW w:type="dxa" w:w="2016"/>
          </w:tcPr>
          <w:p>
            <w:r/>
            <w:r>
              <w:rPr>
                <w:sz w:val="16"/>
              </w:rPr>
              <w:t>triton-windows 3.2.0.post21</w:t>
            </w:r>
          </w:p>
        </w:tc>
        <w:tc>
          <w:tcPr>
            <w:tcW w:type="dxa" w:w="4320"/>
          </w:tcPr>
          <w:p>
            <w:r/>
            <w:r>
              <w:rPr>
                <w:sz w:val="16"/>
              </w:rPr>
              <w:t>The fused residual+LayerNorm+cast kernel</w:t>
            </w:r>
          </w:p>
        </w:tc>
      </w:tr>
      <w:tr>
        <w:tc>
          <w:tcPr>
            <w:tcW w:type="dxa" w:w="1800"/>
          </w:tcPr>
          <w:p>
            <w:r/>
            <w:r>
              <w:rPr>
                <w:sz w:val="16"/>
              </w:rPr>
              <w:t>cuBLASLt</w:t>
            </w:r>
          </w:p>
        </w:tc>
        <w:tc>
          <w:tcPr>
            <w:tcW w:type="dxa" w:w="2016"/>
          </w:tcPr>
          <w:p>
            <w:r/>
            <w:r>
              <w:rPr>
                <w:sz w:val="16"/>
              </w:rPr>
              <w:t>via torch._addmm_activation</w:t>
            </w:r>
          </w:p>
        </w:tc>
        <w:tc>
          <w:tcPr>
            <w:tcW w:type="dxa" w:w="4320"/>
          </w:tcPr>
          <w:p>
            <w:r/>
            <w:r>
              <w:rPr>
                <w:sz w:val="16"/>
              </w:rPr>
              <w:t>Fused GEMM+GELU epilogue</w:t>
            </w:r>
          </w:p>
        </w:tc>
      </w:tr>
      <w:tr>
        <w:tc>
          <w:tcPr>
            <w:tcW w:type="dxa" w:w="1800"/>
          </w:tcPr>
          <w:p>
            <w:r/>
            <w:r>
              <w:rPr>
                <w:sz w:val="16"/>
              </w:rPr>
              <w:t>matplotlib / python-docx</w:t>
            </w:r>
          </w:p>
        </w:tc>
        <w:tc>
          <w:tcPr>
            <w:tcW w:type="dxa" w:w="2016"/>
          </w:tcPr>
          <w:p>
            <w:r/>
            <w:r>
              <w:rPr>
                <w:sz w:val="16"/>
              </w:rPr>
              <w:t>3.x / 1.x</w:t>
            </w:r>
          </w:p>
        </w:tc>
        <w:tc>
          <w:tcPr>
            <w:tcW w:type="dxa" w:w="4320"/>
          </w:tcPr>
          <w:p>
            <w:r/>
            <w:r>
              <w:rPr>
                <w:sz w:val="16"/>
              </w:rPr>
              <w:t>Figures, and this report - generated from a script so it rebuilds when a measurement changes</w:t>
            </w:r>
          </w:p>
        </w:tc>
      </w:tr>
    </w:tbl>
    <w:p>
      <w:pPr>
        <w:spacing w:after="40"/>
      </w:pPr>
    </w:p>
    <w:p>
      <w:pPr>
        <w:spacing w:after="140"/>
        <w:jc w:val="left"/>
      </w:pPr>
      <w:r>
        <w:rPr>
          <w:i/>
          <w:sz w:val="17"/>
        </w:rPr>
        <w:t>Table 7: Development tooling.</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here is the shape of the mistake: our first fix inverted the gate's direction and changed nothing, which is what ruled out the threshold and forced us to look at the measurement instead.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ListBullet"/>
        <w:spacing w:after="60"/>
      </w:pPr>
      <w:r>
        <w:rPr>
          <w:b/>
        </w:rPr>
        <w:t xml:space="preserve">Control confounds, re-measure anomalies. </w:t>
      </w:r>
      <w:r>
        <w:t>Ablation modes are interleaved per shape so clock drift is common to all columns; and shape #4, which measured 0.78x from one sample, was re-measured five times per mode and reversed sign.</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Correct under time constraints, but a kernel specialized to these shapes is where the remaining headroom most plausibly lies.</w:t>
      </w:r>
    </w:p>
    <w:p>
      <w:pPr>
        <w:pStyle w:val="Heading1"/>
      </w:pPr>
      <w:r>
        <w:t>11.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