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CSA will receive the following commission based on quarterly booked MRR. Tiers are stand-alone and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Commission</w:t>
      </w:r>
    </w:p>
    <w:p>
      <w:pPr>
        <w:spacing w:after="80"/>
      </w:pPr>
      <w:r>
        <w:t>The CSA is responsible for renewing all clients within their assigned cohort. Renewal commission applies to actively negotiated renewals only — auto-renewals are excluded.</w:t>
      </w:r>
    </w:p>
    <w:p/>
    <w:p>
      <w:pPr>
        <w:spacing w:after="80"/>
      </w:pPr>
      <w:r>
        <w:t xml:space="preserve">The CSA will earn a percentage of the renewed MRR based on the term committed by the client. </w:t>
      </w:r>
      <w:r>
        <w:rPr>
          <w:b/>
        </w:rPr>
        <w:t>Commission caps vary by term as outlined below.</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Committed Term</w:t>
            </w:r>
          </w:p>
        </w:tc>
        <w:tc>
          <w:tcPr>
            <w:tcW w:type="dxa" w:w="2880"/>
            <w:shd w:val="clear" w:color="auto" w:fill="1E293B"/>
          </w:tcPr>
          <w:p>
            <w:r>
              <w:rPr>
                <w:b/>
                <w:color w:val="FFFFFF"/>
              </w:rPr>
              <w:t>Commission Rate on Renewed MRR</w:t>
            </w:r>
          </w:p>
        </w:tc>
        <w:tc>
          <w:tcPr>
            <w:tcW w:type="dxa" w:w="2880"/>
            <w:shd w:val="clear" w:color="auto" w:fill="1E293B"/>
          </w:tcPr>
          <w:p>
            <w:r>
              <w:rPr>
                <w:b/>
                <w:color w:val="FFFFFF"/>
              </w:rPr>
              <w:t>Cap per Renewal</w:t>
            </w:r>
          </w:p>
        </w:tc>
      </w:tr>
      <w:tr>
        <w:tc>
          <w:tcPr>
            <w:tcW w:type="dxa" w:w="2880"/>
          </w:tcPr>
          <w:p>
            <w:r>
              <w:t>1 Year</w:t>
            </w:r>
          </w:p>
        </w:tc>
        <w:tc>
          <w:tcPr>
            <w:tcW w:type="dxa" w:w="2880"/>
          </w:tcPr>
          <w:p>
            <w:r>
              <w:t>20% of renewed MRR</w:t>
            </w:r>
          </w:p>
        </w:tc>
        <w:tc>
          <w:tcPr>
            <w:tcW w:type="dxa" w:w="2880"/>
          </w:tcPr>
          <w:p>
            <w:r>
              <w:t>$3,000</w:t>
            </w:r>
          </w:p>
        </w:tc>
      </w:tr>
      <w:tr>
        <w:tc>
          <w:tcPr>
            <w:tcW w:type="dxa" w:w="2880"/>
            <w:shd w:val="clear" w:color="auto" w:fill="F8FAFC"/>
          </w:tcPr>
          <w:p>
            <w:r>
              <w:t>2 Years</w:t>
            </w:r>
          </w:p>
        </w:tc>
        <w:tc>
          <w:tcPr>
            <w:tcW w:type="dxa" w:w="2880"/>
            <w:shd w:val="clear" w:color="auto" w:fill="F8FAFC"/>
          </w:tcPr>
          <w:p>
            <w:r>
              <w:t>30% of renewed MRR</w:t>
            </w:r>
          </w:p>
        </w:tc>
        <w:tc>
          <w:tcPr>
            <w:tcW w:type="dxa" w:w="2880"/>
            <w:shd w:val="clear" w:color="auto" w:fill="F8FAFC"/>
          </w:tcPr>
          <w:p>
            <w:r>
              <w:t>$4,500</w:t>
            </w:r>
          </w:p>
        </w:tc>
      </w:tr>
      <w:tr>
        <w:tc>
          <w:tcPr>
            <w:tcW w:type="dxa" w:w="2880"/>
          </w:tcPr>
          <w:p>
            <w:r>
              <w:t>3 Years</w:t>
            </w:r>
          </w:p>
        </w:tc>
        <w:tc>
          <w:tcPr>
            <w:tcW w:type="dxa" w:w="2880"/>
          </w:tcPr>
          <w:p>
            <w:r>
              <w:t>40% of renewed MRR</w:t>
            </w:r>
          </w:p>
        </w:tc>
        <w:tc>
          <w:tcPr>
            <w:tcW w:type="dxa" w:w="2880"/>
          </w:tcPr>
          <w:p>
            <w:r>
              <w:t>$6,000</w:t>
            </w:r>
          </w:p>
        </w:tc>
      </w:tr>
    </w:tbl>
    <w:p/>
    <w:p>
      <w:pPr>
        <w:spacing w:after="80"/>
      </w:pPr>
      <w:r>
        <w:t>A renewal is considered "negotiated" when the CSA has directly engaged the client to discuss, renegotiate, and execute new contract terms prior to expiration. Renewals processed automatically without CSA-initiated client engagement do not qualify.</w:t>
      </w:r>
    </w:p>
    <w:p/>
    <w:p>
      <w:pPr>
        <w:spacing w:after="80"/>
      </w:pPr>
      <w:r>
        <w:rPr>
          <w:b/>
        </w:rPr>
        <w:t>Payment terms — Renewal Commission:</w:t>
      </w:r>
    </w:p>
    <w:p>
      <w:pPr>
        <w:pStyle w:val="ListBullet"/>
        <w:spacing w:after="40"/>
      </w:pPr>
      <w:r>
        <w:t>Commission paid the month following execution</w:t>
      </w:r>
    </w:p>
    <w:p>
      <w:pPr>
        <w:pStyle w:val="ListBullet"/>
        <w:spacing w:after="40"/>
      </w:pPr>
      <w:r>
        <w:t>Renewal MRR does not count toward the Expansion MRR quota</w:t>
      </w:r>
    </w:p>
    <w:p>
      <w:pPr>
        <w:pStyle w:val="ListBullet"/>
        <w:spacing w:after="40"/>
      </w:pPr>
      <w:r>
        <w:t>Clawback: 100% of renewal commission subject to clawback if the client cancels within 60 days of renewal execution</w:t>
      </w:r>
    </w:p>
    <w:p>
      <w:pPr>
        <w:spacing w:after="40"/>
      </w:pPr>
      <w:r>
        <w:rPr>
          <w:color w:val="E2E8F0"/>
          <w:sz w:val="18"/>
        </w:rPr>
        <w:t>──────────────────────────────────────────────────────────────────────</w:t>
      </w:r>
    </w:p>
    <w:p>
      <w:pPr>
        <w:spacing w:before="240" w:after="80"/>
      </w:pPr>
      <w:r>
        <w:rPr>
          <w:b/>
          <w:color w:val="6366F1"/>
          <w:sz w:val="26"/>
        </w:rPr>
        <w:t>3. Tigerpaw → PSA Web Migration Commission</w:t>
      </w:r>
    </w:p>
    <w:p>
      <w:pPr>
        <w:spacing w:after="80"/>
      </w:pPr>
      <w:r>
        <w:t>The CSA is responsible for migrating legacy Tigerpaw clients in their assigned cohort to PSA Web. Migration commission is based on the term of the PSA Web contract executed at migration. There is no cap on migration commission.</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PSA Web Contract Term</w:t>
            </w:r>
          </w:p>
        </w:tc>
        <w:tc>
          <w:tcPr>
            <w:tcW w:type="dxa" w:w="4320"/>
            <w:shd w:val="clear" w:color="auto" w:fill="1E293B"/>
          </w:tcPr>
          <w:p>
            <w:r>
              <w:rPr>
                <w:b/>
                <w:color w:val="FFFFFF"/>
              </w:rPr>
              <w:t>Commission Rate on PSA Web MRR</w:t>
            </w:r>
          </w:p>
        </w:tc>
      </w:tr>
      <w:tr>
        <w:tc>
          <w:tcPr>
            <w:tcW w:type="dxa" w:w="4320"/>
          </w:tcPr>
          <w:p>
            <w:r>
              <w:t>1 Year</w:t>
            </w:r>
          </w:p>
        </w:tc>
        <w:tc>
          <w:tcPr>
            <w:tcW w:type="dxa" w:w="4320"/>
          </w:tcPr>
          <w:p>
            <w:r>
              <w:t>20% of PSA Web MRR</w:t>
            </w:r>
          </w:p>
        </w:tc>
      </w:tr>
      <w:tr>
        <w:tc>
          <w:tcPr>
            <w:tcW w:type="dxa" w:w="4320"/>
            <w:shd w:val="clear" w:color="auto" w:fill="F8FAFC"/>
          </w:tcPr>
          <w:p>
            <w:r>
              <w:t>2 Years</w:t>
            </w:r>
          </w:p>
        </w:tc>
        <w:tc>
          <w:tcPr>
            <w:tcW w:type="dxa" w:w="4320"/>
            <w:shd w:val="clear" w:color="auto" w:fill="F8FAFC"/>
          </w:tcPr>
          <w:p>
            <w:r>
              <w:t>30% of PSA Web MRR</w:t>
            </w:r>
          </w:p>
        </w:tc>
      </w:tr>
      <w:tr>
        <w:tc>
          <w:tcPr>
            <w:tcW w:type="dxa" w:w="4320"/>
          </w:tcPr>
          <w:p>
            <w:r>
              <w:t>3 Years</w:t>
            </w:r>
          </w:p>
        </w:tc>
        <w:tc>
          <w:tcPr>
            <w:tcW w:type="dxa" w:w="4320"/>
          </w:tcPr>
          <w:p>
            <w:r>
              <w:t>40% of PSA Web MRR</w:t>
            </w:r>
          </w:p>
        </w:tc>
      </w:tr>
    </w:tbl>
    <w:p/>
    <w:p>
      <w:pPr>
        <w:spacing w:after="80"/>
      </w:pPr>
      <w:r>
        <w:rPr>
          <w:b/>
        </w:rPr>
        <w:t>Payment terms — Migration Commission:</w:t>
      </w:r>
    </w:p>
    <w:p>
      <w:pPr>
        <w:pStyle w:val="ListBullet"/>
        <w:spacing w:after="40"/>
      </w:pPr>
      <w:r>
        <w:t>Commission paid the month following confirmed PSA Web graduation</w:t>
      </w:r>
    </w:p>
    <w:p>
      <w:pPr>
        <w:pStyle w:val="ListBullet"/>
        <w:spacing w:after="40"/>
      </w:pPr>
      <w:r>
        <w:t>No maximum cap — full commission paid on PSA Web contracted MRR</w:t>
      </w:r>
    </w:p>
    <w:p>
      <w:pPr>
        <w:pStyle w:val="ListBullet"/>
        <w:spacing w:after="40"/>
      </w:pPr>
      <w:r>
        <w:t>Migration completions do not count toward the Expansion MRR quota and are tracked separately</w:t>
      </w:r>
    </w:p>
    <w:p>
      <w:pPr>
        <w:pStyle w:val="ListBullet"/>
        <w:spacing w:after="40"/>
      </w:pPr>
      <w:r>
        <w:rPr>
          <w:b/>
        </w:rPr>
        <w:t>Migration quota:</w:t>
      </w:r>
      <w:r>
        <w:t xml:space="preserve"> 4 completed migrations per month (tracked independently)</w:t>
      </w:r>
    </w:p>
    <w:p>
      <w:pPr>
        <w:pStyle w:val="ListBullet"/>
        <w:spacing w:after="40"/>
      </w:pPr>
      <w:r>
        <w:t>Clawback: 100% of migration commission subject to clawback if the client cancels or RTS within 90 days of PSA Web graduation</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