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E293B"/>
          <w:sz w:val="32"/>
        </w:rPr>
        <w:t>Rev.io Client Solutions Advisor</w:t>
      </w:r>
    </w:p>
    <w:p>
      <w:pPr>
        <w:spacing w:after="120"/>
      </w:pPr>
      <w:r>
        <w:rPr>
          <w:b/>
          <w:color w:val="1E293B"/>
          <w:sz w:val="32"/>
        </w:rPr>
        <w:t>Commission Plan — H1 2026</w:t>
      </w:r>
    </w:p>
    <w:p/>
    <w:p>
      <w:pPr>
        <w:spacing w:after="80"/>
      </w:pPr>
      <w:r>
        <w:rPr>
          <w:b/>
        </w:rPr>
        <w:t>Plan Term</w:t>
      </w:r>
    </w:p>
    <w:p>
      <w:pPr>
        <w:spacing w:after="80"/>
      </w:pPr>
      <w:r>
        <w:t>This Plan Document ("Plan") applies to Fiscal Year 2026 ("FY2026") and outlines the compensation package for the Client Solutions Advisor role. This Plan will remain in effect for the entirety of the associate's employment unless otherwise changed by the Company's issuance of a new plan document.</w:t>
      </w:r>
    </w:p>
    <w:p/>
    <w:p>
      <w:pPr>
        <w:spacing w:before="240" w:after="80"/>
      </w:pPr>
      <w:r>
        <w:rPr>
          <w:b/>
          <w:color w:val="6366F1"/>
          <w:sz w:val="26"/>
        </w:rPr>
        <w:t>Terms and Conditions</w:t>
      </w:r>
    </w:p>
    <w:p>
      <w:pPr>
        <w:spacing w:after="80"/>
      </w:pPr>
      <w:r>
        <w:t>Please reference the Rev.io Commission Plan document for all governing policies including but not limited to Code of Conduct, Dispute Resolution, eligibility, travel reimbursement, etc.</w:t>
      </w:r>
    </w:p>
    <w:p>
      <w:pPr>
        <w:spacing w:after="40"/>
      </w:pPr>
      <w:r>
        <w:rPr>
          <w:color w:val="E2E8F0"/>
          <w:sz w:val="18"/>
        </w:rPr>
        <w:t>──────────────────────────────────────────────────────────────────────</w:t>
      </w:r>
    </w:p>
    <w:p>
      <w:pPr>
        <w:spacing w:before="240" w:after="80"/>
      </w:pPr>
      <w:r>
        <w:rPr>
          <w:b/>
          <w:color w:val="6366F1"/>
          <w:sz w:val="26"/>
        </w:rPr>
        <w:t>1. Expansion Commission</w:t>
      </w:r>
    </w:p>
    <w:p>
      <w:pPr>
        <w:spacing w:after="80"/>
      </w:pPr>
      <w:r>
        <w:t xml:space="preserve">Minimum Quarterly Bookings Quota: </w:t>
      </w:r>
      <w:r>
        <w:rPr>
          <w:b/>
        </w:rPr>
        <w:t>$15,000 Expansion MRR</w:t>
      </w:r>
    </w:p>
    <w:p/>
    <w:p>
      <w:pPr>
        <w:spacing w:after="80"/>
      </w:pPr>
      <w:r>
        <w:t>"Rev.io Expansion Opportunity" is defined as an existing Rev.io Client in the CSA's assigned cohort (Exhibit A) that executes a Rev.io agreement or addendum for the following products:</w:t>
      </w:r>
    </w:p>
    <w:p>
      <w:pPr>
        <w:pStyle w:val="ListBullet"/>
        <w:spacing w:after="40"/>
      </w:pPr>
      <w:r>
        <w:t>Accounts Receivable</w:t>
      </w:r>
    </w:p>
    <w:p>
      <w:pPr>
        <w:pStyle w:val="ListBullet"/>
        <w:spacing w:after="40"/>
      </w:pPr>
      <w:r>
        <w:t>Accounts Payable</w:t>
      </w:r>
    </w:p>
    <w:p>
      <w:pPr>
        <w:pStyle w:val="ListBullet"/>
        <w:spacing w:after="40"/>
      </w:pPr>
      <w:r>
        <w:t>Cloud Protection (RMM, EDR, Cloud Back-up)</w:t>
      </w:r>
    </w:p>
    <w:p>
      <w:pPr>
        <w:pStyle w:val="ListBullet"/>
        <w:spacing w:after="40"/>
      </w:pPr>
      <w:r>
        <w:t>Billing Add-ons</w:t>
      </w:r>
    </w:p>
    <w:p/>
    <w:p>
      <w:pPr>
        <w:spacing w:after="80"/>
      </w:pPr>
      <w:r>
        <w:t>The CSA will receive the following commission based on quarterly booked MRR. Tiers are stand-alone and not retroactive.</w:t>
      </w:r>
    </w:p>
    <w:p/>
    <w:tbl>
      <w:tblPr>
        <w:tblStyle w:val="TableGrid"/>
        <w:tblW w:type="auto" w:w="0"/>
        <w:tblLook w:firstColumn="1" w:firstRow="1" w:lastColumn="0" w:lastRow="0" w:noHBand="0" w:noVBand="1" w:val="04A0"/>
      </w:tblPr>
      <w:tblGrid>
        <w:gridCol w:w="4320"/>
        <w:gridCol w:w="4320"/>
      </w:tblGrid>
      <w:tr>
        <w:tc>
          <w:tcPr>
            <w:tcW w:type="dxa" w:w="4320"/>
            <w:shd w:val="clear" w:color="auto" w:fill="1E293B"/>
          </w:tcPr>
          <w:p>
            <w:r>
              <w:rPr>
                <w:b/>
                <w:color w:val="FFFFFF"/>
              </w:rPr>
              <w:t>Quarterly Booked MRR</w:t>
            </w:r>
          </w:p>
        </w:tc>
        <w:tc>
          <w:tcPr>
            <w:tcW w:type="dxa" w:w="4320"/>
            <w:shd w:val="clear" w:color="auto" w:fill="1E293B"/>
          </w:tcPr>
          <w:p>
            <w:r>
              <w:rPr>
                <w:b/>
                <w:color w:val="FFFFFF"/>
              </w:rPr>
              <w:t>Commission Rate</w:t>
            </w:r>
          </w:p>
        </w:tc>
      </w:tr>
      <w:tr>
        <w:tc>
          <w:tcPr>
            <w:tcW w:type="dxa" w:w="4320"/>
          </w:tcPr>
          <w:p>
            <w:r>
              <w:t>$0 – $15,000</w:t>
            </w:r>
          </w:p>
        </w:tc>
        <w:tc>
          <w:tcPr>
            <w:tcW w:type="dxa" w:w="4320"/>
          </w:tcPr>
          <w:p>
            <w:r>
              <w:t>1× MRR (100%)</w:t>
            </w:r>
          </w:p>
        </w:tc>
      </w:tr>
      <w:tr>
        <w:tc>
          <w:tcPr>
            <w:tcW w:type="dxa" w:w="4320"/>
            <w:shd w:val="clear" w:color="auto" w:fill="F8FAFC"/>
          </w:tcPr>
          <w:p>
            <w:r>
              <w:t>$15,001 – $20,000</w:t>
            </w:r>
          </w:p>
        </w:tc>
        <w:tc>
          <w:tcPr>
            <w:tcW w:type="dxa" w:w="4320"/>
            <w:shd w:val="clear" w:color="auto" w:fill="F8FAFC"/>
          </w:tcPr>
          <w:p>
            <w:r>
              <w:t>1.2× MRR (120%)</w:t>
            </w:r>
          </w:p>
        </w:tc>
      </w:tr>
      <w:tr>
        <w:tc>
          <w:tcPr>
            <w:tcW w:type="dxa" w:w="4320"/>
          </w:tcPr>
          <w:p>
            <w:r>
              <w:t>$20,001 – $25,000</w:t>
            </w:r>
          </w:p>
        </w:tc>
        <w:tc>
          <w:tcPr>
            <w:tcW w:type="dxa" w:w="4320"/>
          </w:tcPr>
          <w:p>
            <w:r>
              <w:t>1.5× MRR (150%)</w:t>
            </w:r>
          </w:p>
        </w:tc>
      </w:tr>
      <w:tr>
        <w:tc>
          <w:tcPr>
            <w:tcW w:type="dxa" w:w="4320"/>
            <w:shd w:val="clear" w:color="auto" w:fill="F8FAFC"/>
          </w:tcPr>
          <w:p>
            <w:r>
              <w:t>$25,001+</w:t>
            </w:r>
          </w:p>
        </w:tc>
        <w:tc>
          <w:tcPr>
            <w:tcW w:type="dxa" w:w="4320"/>
            <w:shd w:val="clear" w:color="auto" w:fill="F8FAFC"/>
          </w:tcPr>
          <w:p>
            <w:r>
              <w:t>1× MRR (100%)</w:t>
            </w:r>
          </w:p>
        </w:tc>
      </w:tr>
    </w:tbl>
    <w:p/>
    <w:p>
      <w:pPr>
        <w:spacing w:after="80"/>
      </w:pPr>
      <w:r>
        <w:rPr>
          <w:b/>
        </w:rPr>
        <w:t>Payment terms:</w:t>
      </w:r>
    </w:p>
    <w:p>
      <w:pPr>
        <w:pStyle w:val="ListBullet"/>
        <w:spacing w:after="40"/>
      </w:pPr>
      <w:r>
        <w:t>All commission shall be paid the month following the first month the client is invoiced for the expansion products.</w:t>
      </w:r>
    </w:p>
    <w:p>
      <w:pPr>
        <w:pStyle w:val="ListBullet"/>
        <w:spacing w:after="40"/>
      </w:pPr>
      <w:r>
        <w:t>For any commission payment larger than $10,000, the first $10,000 shall be paid per the standard schedule. The remaining balance shall be paid upon collection of the contracted MRR.</w:t>
      </w:r>
    </w:p>
    <w:p>
      <w:pPr>
        <w:pStyle w:val="ListBullet"/>
        <w:spacing w:after="40"/>
      </w:pPr>
      <w:r>
        <w:t>Associate must be employed on the date payment is issued.</w:t>
      </w:r>
    </w:p>
    <w:p>
      <w:pPr>
        <w:pStyle w:val="ListBullet"/>
        <w:spacing w:after="40"/>
      </w:pPr>
      <w:r>
        <w:t>In the event a sale becomes an "RTS" and is fully cancelled prior to Rev.io Graduation, 100% of commission paid is subject to clawback.</w:t>
      </w:r>
    </w:p>
    <w:p>
      <w:pPr>
        <w:spacing w:after="40"/>
      </w:pPr>
      <w:r>
        <w:rPr>
          <w:color w:val="E2E8F0"/>
          <w:sz w:val="18"/>
        </w:rPr>
        <w:t>──────────────────────────────────────────────────────────────────────</w:t>
      </w:r>
    </w:p>
    <w:p>
      <w:pPr>
        <w:spacing w:before="240" w:after="80"/>
      </w:pPr>
      <w:r>
        <w:rPr>
          <w:b/>
          <w:color w:val="6366F1"/>
          <w:sz w:val="26"/>
        </w:rPr>
        <w:t>2. Client Renewal Commission (New)</w:t>
      </w:r>
    </w:p>
    <w:p>
      <w:pPr>
        <w:spacing w:after="80"/>
      </w:pPr>
      <w:r>
        <w:t>The CSA is responsible for renewing all clients within their assigned cohort. Renewal commission applies to actively negotiated renewals only — auto-renewals are excluded.</w:t>
      </w:r>
    </w:p>
    <w:p/>
    <w:p>
      <w:pPr>
        <w:spacing w:after="80"/>
      </w:pPr>
      <w:r>
        <w:t xml:space="preserve">The CSA will earn a percentage of the renewed MRR based on the term committed by the client. </w:t>
      </w:r>
      <w:r>
        <w:rPr>
          <w:b/>
        </w:rPr>
        <w:t>Maximum commission per renewal is capped at $6,000.</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293B"/>
          </w:tcPr>
          <w:p>
            <w:r>
              <w:rPr>
                <w:b/>
                <w:color w:val="FFFFFF"/>
              </w:rPr>
              <w:t>Committed Term</w:t>
            </w:r>
          </w:p>
        </w:tc>
        <w:tc>
          <w:tcPr>
            <w:tcW w:type="dxa" w:w="2880"/>
            <w:shd w:val="clear" w:color="auto" w:fill="1E293B"/>
          </w:tcPr>
          <w:p>
            <w:r>
              <w:rPr>
                <w:b/>
                <w:color w:val="FFFFFF"/>
              </w:rPr>
              <w:t>Commission Rate on Renewed MRR</w:t>
            </w:r>
          </w:p>
        </w:tc>
        <w:tc>
          <w:tcPr>
            <w:tcW w:type="dxa" w:w="2880"/>
            <w:shd w:val="clear" w:color="auto" w:fill="1E293B"/>
          </w:tcPr>
          <w:p>
            <w:r>
              <w:rPr>
                <w:b/>
                <w:color w:val="FFFFFF"/>
              </w:rPr>
              <w:t>Cap per Renewal</w:t>
            </w:r>
          </w:p>
        </w:tc>
      </w:tr>
      <w:tr>
        <w:tc>
          <w:tcPr>
            <w:tcW w:type="dxa" w:w="2880"/>
          </w:tcPr>
          <w:p>
            <w:r>
              <w:t>1 Year</w:t>
            </w:r>
          </w:p>
        </w:tc>
        <w:tc>
          <w:tcPr>
            <w:tcW w:type="dxa" w:w="2880"/>
          </w:tcPr>
          <w:p>
            <w:r>
              <w:t>20% of renewed MRR</w:t>
            </w:r>
          </w:p>
        </w:tc>
        <w:tc>
          <w:tcPr>
            <w:tcW w:type="dxa" w:w="2880"/>
          </w:tcPr>
          <w:p>
            <w:r>
              <w:t>$6,000</w:t>
            </w:r>
          </w:p>
        </w:tc>
      </w:tr>
      <w:tr>
        <w:tc>
          <w:tcPr>
            <w:tcW w:type="dxa" w:w="2880"/>
            <w:shd w:val="clear" w:color="auto" w:fill="F8FAFC"/>
          </w:tcPr>
          <w:p>
            <w:r>
              <w:t>2 Years</w:t>
            </w:r>
          </w:p>
        </w:tc>
        <w:tc>
          <w:tcPr>
            <w:tcW w:type="dxa" w:w="2880"/>
            <w:shd w:val="clear" w:color="auto" w:fill="F8FAFC"/>
          </w:tcPr>
          <w:p>
            <w:r>
              <w:t>30% of renewed MRR</w:t>
            </w:r>
          </w:p>
        </w:tc>
        <w:tc>
          <w:tcPr>
            <w:tcW w:type="dxa" w:w="2880"/>
            <w:shd w:val="clear" w:color="auto" w:fill="F8FAFC"/>
          </w:tcPr>
          <w:p>
            <w:r>
              <w:t>$6,000</w:t>
            </w:r>
          </w:p>
        </w:tc>
      </w:tr>
      <w:tr>
        <w:tc>
          <w:tcPr>
            <w:tcW w:type="dxa" w:w="2880"/>
          </w:tcPr>
          <w:p>
            <w:r>
              <w:t>3 Years</w:t>
            </w:r>
          </w:p>
        </w:tc>
        <w:tc>
          <w:tcPr>
            <w:tcW w:type="dxa" w:w="2880"/>
          </w:tcPr>
          <w:p>
            <w:r>
              <w:t>40% of renewed MRR</w:t>
            </w:r>
          </w:p>
        </w:tc>
        <w:tc>
          <w:tcPr>
            <w:tcW w:type="dxa" w:w="2880"/>
          </w:tcPr>
          <w:p>
            <w:r>
              <w:t>$6,000</w:t>
            </w:r>
          </w:p>
        </w:tc>
      </w:tr>
    </w:tbl>
    <w:p/>
    <w:p>
      <w:pPr>
        <w:spacing w:after="80"/>
      </w:pPr>
      <w:r>
        <w:t>A renewal is considered "negotiated" when the CSA has directly engaged the client to discuss, renegotiate, and execute new contract terms prior to expiration. Renewals processed automatically without CSA-initiated client engagement do not qualify.</w:t>
      </w:r>
    </w:p>
    <w:p/>
    <w:p>
      <w:pPr>
        <w:spacing w:after="80"/>
      </w:pPr>
      <w:r>
        <w:rPr>
          <w:b/>
        </w:rPr>
        <w:t>Payment terms — Renewal Commission:</w:t>
      </w:r>
    </w:p>
    <w:p>
      <w:pPr>
        <w:pStyle w:val="ListBullet"/>
        <w:spacing w:after="40"/>
      </w:pPr>
      <w:r>
        <w:t>Commission paid the month following execution</w:t>
      </w:r>
    </w:p>
    <w:p>
      <w:pPr>
        <w:pStyle w:val="ListBullet"/>
        <w:spacing w:after="40"/>
      </w:pPr>
      <w:r>
        <w:t>Maximum payout per negotiated renewal is $6,000 regardless of MRR value</w:t>
      </w:r>
    </w:p>
    <w:p>
      <w:pPr>
        <w:pStyle w:val="ListBullet"/>
        <w:spacing w:after="40"/>
      </w:pPr>
      <w:r>
        <w:t>Renewal MRR does not count toward the Expansion MRR quota</w:t>
      </w:r>
    </w:p>
    <w:p>
      <w:pPr>
        <w:pStyle w:val="ListBullet"/>
        <w:spacing w:after="40"/>
      </w:pPr>
      <w:r>
        <w:t>Clawback: 100% of renewal commission subject to clawback if the client cancels within 60 days of renewal execution</w:t>
      </w:r>
    </w:p>
    <w:p>
      <w:pPr>
        <w:spacing w:after="40"/>
      </w:pPr>
      <w:r>
        <w:rPr>
          <w:color w:val="E2E8F0"/>
          <w:sz w:val="18"/>
        </w:rPr>
        <w:t>──────────────────────────────────────────────────────────────────────</w:t>
      </w:r>
    </w:p>
    <w:p>
      <w:pPr>
        <w:spacing w:before="240" w:after="80"/>
      </w:pPr>
      <w:r>
        <w:rPr>
          <w:b/>
          <w:color w:val="6366F1"/>
          <w:sz w:val="26"/>
        </w:rPr>
        <w:t>3. Tigerpaw → PSA Web Migration Commission (New)</w:t>
      </w:r>
    </w:p>
    <w:p>
      <w:pPr>
        <w:spacing w:after="80"/>
      </w:pPr>
      <w:r>
        <w:t xml:space="preserve">The CSA is responsible for migrating legacy Tigerpaw clients in their assigned cohort to PSA Web. Migration commission is based on the term of the PSA Web contract executed at migration. </w:t>
      </w:r>
      <w:r>
        <w:rPr>
          <w:b/>
        </w:rPr>
        <w:t>Maximum commission per migration is capped at $6,000.</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293B"/>
          </w:tcPr>
          <w:p>
            <w:r>
              <w:rPr>
                <w:b/>
                <w:color w:val="FFFFFF"/>
              </w:rPr>
              <w:t>PSA Web Contract Term</w:t>
            </w:r>
          </w:p>
        </w:tc>
        <w:tc>
          <w:tcPr>
            <w:tcW w:type="dxa" w:w="2880"/>
            <w:shd w:val="clear" w:color="auto" w:fill="1E293B"/>
          </w:tcPr>
          <w:p>
            <w:r>
              <w:rPr>
                <w:b/>
                <w:color w:val="FFFFFF"/>
              </w:rPr>
              <w:t>Commission Rate on PSA Web MRR</w:t>
            </w:r>
          </w:p>
        </w:tc>
        <w:tc>
          <w:tcPr>
            <w:tcW w:type="dxa" w:w="2880"/>
            <w:shd w:val="clear" w:color="auto" w:fill="1E293B"/>
          </w:tcPr>
          <w:p>
            <w:r>
              <w:rPr>
                <w:b/>
                <w:color w:val="FFFFFF"/>
              </w:rPr>
              <w:t>Cap per Migration</w:t>
            </w:r>
          </w:p>
        </w:tc>
      </w:tr>
      <w:tr>
        <w:tc>
          <w:tcPr>
            <w:tcW w:type="dxa" w:w="2880"/>
          </w:tcPr>
          <w:p>
            <w:r>
              <w:t>1 Year</w:t>
            </w:r>
          </w:p>
        </w:tc>
        <w:tc>
          <w:tcPr>
            <w:tcW w:type="dxa" w:w="2880"/>
          </w:tcPr>
          <w:p>
            <w:r>
              <w:t>20% of PSA Web MRR</w:t>
            </w:r>
          </w:p>
        </w:tc>
        <w:tc>
          <w:tcPr>
            <w:tcW w:type="dxa" w:w="2880"/>
          </w:tcPr>
          <w:p>
            <w:r>
              <w:t>$6,000</w:t>
            </w:r>
          </w:p>
        </w:tc>
      </w:tr>
      <w:tr>
        <w:tc>
          <w:tcPr>
            <w:tcW w:type="dxa" w:w="2880"/>
            <w:shd w:val="clear" w:color="auto" w:fill="F8FAFC"/>
          </w:tcPr>
          <w:p>
            <w:r>
              <w:t>2 Years</w:t>
            </w:r>
          </w:p>
        </w:tc>
        <w:tc>
          <w:tcPr>
            <w:tcW w:type="dxa" w:w="2880"/>
            <w:shd w:val="clear" w:color="auto" w:fill="F8FAFC"/>
          </w:tcPr>
          <w:p>
            <w:r>
              <w:t>30% of PSA Web MRR</w:t>
            </w:r>
          </w:p>
        </w:tc>
        <w:tc>
          <w:tcPr>
            <w:tcW w:type="dxa" w:w="2880"/>
            <w:shd w:val="clear" w:color="auto" w:fill="F8FAFC"/>
          </w:tcPr>
          <w:p>
            <w:r>
              <w:t>$6,000</w:t>
            </w:r>
          </w:p>
        </w:tc>
      </w:tr>
      <w:tr>
        <w:tc>
          <w:tcPr>
            <w:tcW w:type="dxa" w:w="2880"/>
          </w:tcPr>
          <w:p>
            <w:r>
              <w:t>3 Years</w:t>
            </w:r>
          </w:p>
        </w:tc>
        <w:tc>
          <w:tcPr>
            <w:tcW w:type="dxa" w:w="2880"/>
          </w:tcPr>
          <w:p>
            <w:r>
              <w:t>40% of PSA Web MRR</w:t>
            </w:r>
          </w:p>
        </w:tc>
        <w:tc>
          <w:tcPr>
            <w:tcW w:type="dxa" w:w="2880"/>
          </w:tcPr>
          <w:p>
            <w:r>
              <w:t>$6,000</w:t>
            </w:r>
          </w:p>
        </w:tc>
      </w:tr>
    </w:tbl>
    <w:p/>
    <w:p>
      <w:pPr>
        <w:spacing w:after="80"/>
      </w:pPr>
      <w:r>
        <w:rPr>
          <w:b/>
        </w:rPr>
        <w:t>Payment terms — Migration Commission:</w:t>
      </w:r>
    </w:p>
    <w:p>
      <w:pPr>
        <w:pStyle w:val="ListBullet"/>
        <w:spacing w:after="40"/>
      </w:pPr>
      <w:r>
        <w:t>Commission paid the month following confirmed PSA Web graduation</w:t>
      </w:r>
    </w:p>
    <w:p>
      <w:pPr>
        <w:pStyle w:val="ListBullet"/>
        <w:spacing w:after="40"/>
      </w:pPr>
      <w:r>
        <w:t>Maximum payout per migration is $6,000 regardless of MRR value</w:t>
      </w:r>
    </w:p>
    <w:p>
      <w:pPr>
        <w:pStyle w:val="ListBullet"/>
        <w:spacing w:after="40"/>
      </w:pPr>
      <w:r>
        <w:t>Migration completions do not count toward the Expansion MRR quota and are tracked separately</w:t>
      </w:r>
    </w:p>
    <w:p>
      <w:pPr>
        <w:pStyle w:val="ListBullet"/>
        <w:spacing w:after="40"/>
      </w:pPr>
      <w:r>
        <w:rPr>
          <w:b/>
        </w:rPr>
        <w:t>Migration quota:</w:t>
      </w:r>
      <w:r>
        <w:t xml:space="preserve"> 4 completed migrations per half (tracked independently)</w:t>
      </w:r>
    </w:p>
    <w:p>
      <w:pPr>
        <w:pStyle w:val="ListBullet"/>
        <w:spacing w:after="40"/>
      </w:pPr>
      <w:r>
        <w:t>Clawback: 100% of migration commission subject to clawback if the client cancels or RTS within 90 days of PSA Web graduation</w:t>
      </w:r>
    </w:p>
    <w:p>
      <w:pPr>
        <w:spacing w:after="40"/>
      </w:pPr>
      <w:r>
        <w:rPr>
          <w:color w:val="E2E8F0"/>
          <w:sz w:val="18"/>
        </w:rPr>
        <w:t>──────────────────────────────────────────────────────────────────────</w:t>
      </w:r>
    </w:p>
    <w:p>
      <w:pPr>
        <w:spacing w:before="240" w:after="80"/>
      </w:pPr>
      <w:r>
        <w:rPr>
          <w:b/>
          <w:color w:val="6366F1"/>
          <w:sz w:val="26"/>
        </w:rPr>
        <w:t>Exhibit A: 2026 CSA Client Cohorts</w:t>
      </w:r>
    </w:p>
    <w:p>
      <w:pPr>
        <w:spacing w:after="80"/>
      </w:pPr>
      <w:r>
        <w:t>To be attached.</w:t>
      </w:r>
    </w:p>
    <w:p/>
    <w:p/>
    <w:p>
      <w:pPr>
        <w:spacing w:after="80"/>
      </w:pPr>
      <w:r>
        <w:t>Signing below indicates acceptance of the terms of this Agreement by Rev.io and the employee.</w:t>
      </w:r>
    </w:p>
    <w:p/>
    <w:p/>
    <w:p>
      <w:pPr>
        <w:spacing w:after="80"/>
      </w:pPr>
      <w:r>
        <w:t>__________________________________________                    _______________________</w:t>
      </w:r>
    </w:p>
    <w:p>
      <w:pPr>
        <w:spacing w:after="80"/>
      </w:pPr>
      <w:r>
        <w:t>Name: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