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rie-pilot-installaties"/>
    <w:p>
      <w:pPr>
        <w:pStyle w:val="Heading2"/>
      </w:pPr>
      <w:r>
        <w:t xml:space="preserve">05 — Drie pilot-installaties</w:t>
      </w:r>
    </w:p>
    <w:p>
      <w:pPr>
        <w:pStyle w:val="FirstParagraph"/>
      </w:pPr>
      <w:r>
        <w:rPr>
          <w:i/>
          <w:iCs/>
        </w:rPr>
        <w:t xml:space="preserve">Concreet voorstel voor drie pilots die binnen drie jaar van papier naar staal kunnen — geografisch, financieel, contractueel uitgewerkt.</w:t>
      </w:r>
    </w:p>
    <w:p>
      <w:pPr>
        <w:pStyle w:val="BodyText"/>
      </w:pPr>
      <w:r>
        <w:rPr>
          <w:b/>
          <w:bCs/>
        </w:rPr>
        <w:t xml:space="preserve">Wat deze aflevering behandelt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Pilot Brazilië-Nederland</w:t>
      </w:r>
      <w:r>
        <w:t xml:space="preserve"> </w:t>
      </w:r>
      <w:r>
        <w:t xml:space="preserve">(productie-as): 50.000 ha Giant Juncao in Mato Grosso do Sul, BiCRS-installatie aan de São Francisco-rivier, bio-ethanol export via Rotterdam. Doel: 200.000 ton ethanol/jaar + 350.000 ton CO₂ vastgelegd in jaar drie.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Pilot Nigeria-Duitsland</w:t>
      </w:r>
      <w:r>
        <w:t xml:space="preserve"> </w:t>
      </w:r>
      <w:r>
        <w:t xml:space="preserve">(productie-as): 30.000 ha Juncao in Kaduna State, BiCRS-installatie nabij de Niger-delta, bio-methanol export via Hamburg. Doel: 120.000 ton methanol/jaar + 200.000 ton CO₂ vastgelegd in jaar drie.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Pilot Garzweiler</w:t>
      </w:r>
      <w:r>
        <w:t xml:space="preserve"> </w:t>
      </w:r>
      <w:r>
        <w:t xml:space="preserve">(opslag-as): plastic-scheiding aan de bron in vier Duitse regio’s (NRW, Saksen, Brandenburg, Beieren), transport per spoor naar Garzweiler-rand, eerste sectie-vulling met 500.000 ton plastic in jaar twee. Doel: 1,43 megaton CO₂-equivalent vermeden per jaar.</w:t>
      </w:r>
    </w:p>
    <w:p>
      <w:pPr>
        <w:pStyle w:val="Compact"/>
        <w:numPr>
          <w:ilvl w:val="0"/>
          <w:numId w:val="1001"/>
        </w:numPr>
      </w:pPr>
      <w:r>
        <w:t xml:space="preserve">Financiering: Europese Investeringsbank, KfW, BNDES, AfDB, plus institutionele afnamecontracten voor luchtvaart (KLM, Lufthansa) en scheepvaart (Maersk, MSC).</w:t>
      </w:r>
    </w:p>
    <w:p>
      <w:pPr>
        <w:pStyle w:val="Compact"/>
        <w:numPr>
          <w:ilvl w:val="0"/>
          <w:numId w:val="1001"/>
        </w:numPr>
      </w:pPr>
      <w:r>
        <w:t xml:space="preserve">Contractuele opbouw: koolstof-credits, afnemerszekerheid via Europese wetgeving, eerlijke vergoeding aan de productielanden inclusief lokale werkgelegenheid.</w:t>
      </w:r>
    </w:p>
    <w:p>
      <w:pPr>
        <w:pStyle w:val="Compact"/>
        <w:numPr>
          <w:ilvl w:val="0"/>
          <w:numId w:val="1001"/>
        </w:numPr>
      </w:pPr>
      <w:r>
        <w:t xml:space="preserve">Tijdslijn: jaar 0 (besluit), jaar 1 (grondinrichting + sortering), jaar 2 (eerste oogst + eerste plastic-burial), jaar 3 (volledige operationele cyclus).</w:t>
      </w:r>
    </w:p>
    <w:p>
      <w:pPr>
        <w:pStyle w:val="FirstParagraph"/>
      </w:pPr>
      <w:r>
        <w:rPr>
          <w:i/>
          <w:iCs/>
        </w:rPr>
        <w:t xml:space="preserve">Deze aflevering wordt nog uitgewerkt met landkaarten van elk pilot-gebied, financiële modellen per pilot en de drie modelcontracten die de basis vormen.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2026-06-03T05:18:39Z</dcterms:created>
  <dcterms:modified xsi:type="dcterms:W3CDTF">2026-06-03T05:18:39Z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