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t-venster-sluit"/>
    <w:p>
      <w:pPr>
        <w:pStyle w:val="Heading2"/>
      </w:pPr>
      <w:r>
        <w:t xml:space="preserve">06 — Het venster sluit</w:t>
      </w:r>
    </w:p>
    <w:p>
      <w:pPr>
        <w:pStyle w:val="FirstParagraph"/>
      </w:pPr>
      <w:r>
        <w:rPr>
          <w:i/>
          <w:iCs/>
        </w:rPr>
        <w:t xml:space="preserve">Waarom drie tot vijf jaar het tijdsvenster is, en wat er gebeurt als Europa het mist.</w:t>
      </w:r>
    </w:p>
    <w:p>
      <w:pPr>
        <w:pStyle w:val="BodyText"/>
      </w:pPr>
      <w:r>
        <w:rPr>
          <w:b/>
          <w:bCs/>
        </w:rPr>
        <w:t xml:space="preserve">Wat deze aflevering behandelt</w:t>
      </w:r>
    </w:p>
    <w:p>
      <w:pPr>
        <w:pStyle w:val="Compact"/>
        <w:numPr>
          <w:ilvl w:val="0"/>
          <w:numId w:val="1001"/>
        </w:numPr>
      </w:pPr>
      <w:r>
        <w:t xml:space="preserve">Chinese aanwezigheid in Giant Juncao-export: sinds 2010 actieve promotiecampagnes in Papoea-Nieuw-Guinea, Fiji, Centraal-Afrikaanse Republiek, Zimbabwe, Rwanda en Madagascar — meer dan twaalfduizend boerderijen in zestien provincies van acht landen.</w:t>
      </w:r>
    </w:p>
    <w:p>
      <w:pPr>
        <w:pStyle w:val="Compact"/>
        <w:numPr>
          <w:ilvl w:val="0"/>
          <w:numId w:val="1001"/>
        </w:numPr>
      </w:pPr>
      <w:r>
        <w:t xml:space="preserve">Wat geografische voorsprong betekent: lokale veredelingsstations, lokale productenlijnen, lokale kennisbasis, lokale handelsnetwerken — niet inhaalbaar door Europese kapitaalinjectie alleen.</w:t>
      </w:r>
    </w:p>
    <w:p>
      <w:pPr>
        <w:pStyle w:val="Compact"/>
        <w:numPr>
          <w:ilvl w:val="0"/>
          <w:numId w:val="1001"/>
        </w:numPr>
      </w:pPr>
      <w:r>
        <w:t xml:space="preserve">De parallel met zonnepanelen: Europa was uitvinder, China werd producent, Europa werd afnemer. Zonder snelle interventie herhaalt dit patroon zich voor BiCRS en bio-brandstof uit Juncao.</w:t>
      </w:r>
    </w:p>
    <w:p>
      <w:pPr>
        <w:pStyle w:val="Compact"/>
        <w:numPr>
          <w:ilvl w:val="0"/>
          <w:numId w:val="1001"/>
        </w:numPr>
      </w:pPr>
      <w:r>
        <w:t xml:space="preserve">De parallel met halfgeleiders: ASML toonde wat Europese industrie nog kan leveren wanneer één bedrijf dertig jaar lang door één regering wordt gesteund. Maar één bedrijf is geen continent.</w:t>
      </w:r>
    </w:p>
    <w:p>
      <w:pPr>
        <w:pStyle w:val="Compact"/>
        <w:numPr>
          <w:ilvl w:val="0"/>
          <w:numId w:val="1001"/>
        </w:numPr>
      </w:pPr>
      <w:r>
        <w:t xml:space="preserve">De Russische ketting-reactie: zodra Rusland fossiele energie verliest, valt zijn economisch model. De vraag is wie de vervangende energie levert. Wie de Juncao-as bezit, bezit de antwoorden.</w:t>
      </w:r>
    </w:p>
    <w:p>
      <w:pPr>
        <w:pStyle w:val="Compact"/>
        <w:numPr>
          <w:ilvl w:val="0"/>
          <w:numId w:val="1001"/>
        </w:numPr>
      </w:pPr>
      <w:r>
        <w:t xml:space="preserve">Het Amerikaanse alternatief: Trump’s juristen-kabinet bouwt geen BiCRS-installaties. Dat is een uitnodiging die niet komt.</w:t>
      </w:r>
    </w:p>
    <w:p>
      <w:pPr>
        <w:pStyle w:val="FirstParagraph"/>
      </w:pPr>
      <w:r>
        <w:rPr>
          <w:i/>
          <w:iCs/>
        </w:rPr>
        <w:t xml:space="preserve">Deze aflevering wordt nog uitgewerkt met een tijdlijn-grafiek van Chinese Juncao-export sinds 2010 en de drie geopolitieke scenario’s bij missen van het venster.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2026-06-03T05:18:39Z</dcterms:created>
  <dcterms:modified xsi:type="dcterms:W3CDTF">2026-06-03T05:18:39Z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