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-institutionele-voorwaarde"/>
    <w:p>
      <w:pPr>
        <w:pStyle w:val="Heading2"/>
      </w:pPr>
      <w:r>
        <w:t xml:space="preserve">07 — De institutionele voorwaarde</w:t>
      </w:r>
    </w:p>
    <w:p>
      <w:pPr>
        <w:pStyle w:val="FirstParagraph"/>
      </w:pPr>
      <w:r>
        <w:rPr>
          <w:i/>
          <w:iCs/>
        </w:rPr>
        <w:t xml:space="preserve">Hoe een Europese economische bondsraad binnen één politieke cyclus de twee hefbomen van papier naar staal kan brengen.</w:t>
      </w:r>
    </w:p>
    <w:p>
      <w:pPr>
        <w:pStyle w:val="BodyText"/>
      </w:pPr>
      <w:r>
        <w:rPr>
          <w:b/>
          <w:bCs/>
        </w:rPr>
        <w:t xml:space="preserve">Wat deze aflevering behandelt</w:t>
      </w:r>
    </w:p>
    <w:p>
      <w:pPr>
        <w:pStyle w:val="Compact"/>
        <w:numPr>
          <w:ilvl w:val="0"/>
          <w:numId w:val="1001"/>
        </w:numPr>
      </w:pPr>
      <w:r>
        <w:t xml:space="preserve">De ontwerp-eisen van een Europese economische bondsraad — vijf tot zeven leden, vaste meerjarige termijnen, eerste-orde-meting (productiviteit, CO₂, energie-autonomie) als bindend kader.</w:t>
      </w:r>
    </w:p>
    <w:p>
      <w:pPr>
        <w:pStyle w:val="Compact"/>
        <w:numPr>
          <w:ilvl w:val="0"/>
          <w:numId w:val="1001"/>
        </w:numPr>
      </w:pPr>
      <w:r>
        <w:t xml:space="preserve">De wijziging van drie richtlijnen in één pakket: Landfill Directive (om plastic-burial mogelijk te maken als koolstofopslag), Waste Framework Directive (om huisvuilverbranding te degraderen tot laatste optie), RED III (om Juncao-ethanol versneld als hernieuwbaar te erkennen).</w:t>
      </w:r>
    </w:p>
    <w:p>
      <w:pPr>
        <w:pStyle w:val="Compact"/>
        <w:numPr>
          <w:ilvl w:val="0"/>
          <w:numId w:val="1001"/>
        </w:numPr>
      </w:pPr>
      <w:r>
        <w:t xml:space="preserve">Het politieke spel: welke commissarissen, welke parlementaire fracties, welke nationale regeringen de eerste beweging kunnen maken.</w:t>
      </w:r>
    </w:p>
    <w:p>
      <w:pPr>
        <w:pStyle w:val="Compact"/>
        <w:numPr>
          <w:ilvl w:val="0"/>
          <w:numId w:val="1001"/>
        </w:numPr>
      </w:pPr>
      <w:r>
        <w:t xml:space="preserve">De rol van de kennislaag (TNO, Fraunhofer, CNRS, ETH, KNAW, planbureaus) als onafhankelijke eerste-orde-meetinstantie — buiten de poldergeest om.</w:t>
      </w:r>
    </w:p>
    <w:p>
      <w:pPr>
        <w:pStyle w:val="Compact"/>
        <w:numPr>
          <w:ilvl w:val="0"/>
          <w:numId w:val="1001"/>
        </w:numPr>
      </w:pPr>
      <w:r>
        <w:t xml:space="preserve">Het tegenargument behandelen: koloniaal verleden, mensenrechten in productieketens, milieueffecten van transport. Niet wegredeneren maar structureel beantwoorden binnen het ontwerp.</w:t>
      </w:r>
    </w:p>
    <w:p>
      <w:pPr>
        <w:pStyle w:val="Compact"/>
        <w:numPr>
          <w:ilvl w:val="0"/>
          <w:numId w:val="1001"/>
        </w:numPr>
      </w:pPr>
      <w:r>
        <w:t xml:space="preserve">Het draaiboek: vijf jaar van besluit tot operationele drie pilots, daarna acht jaar uitrol naar volledige Europese capaciteit, daarna netto-negatieve uitstoot.</w:t>
      </w:r>
    </w:p>
    <w:p>
      <w:pPr>
        <w:pStyle w:val="Compact"/>
        <w:numPr>
          <w:ilvl w:val="0"/>
          <w:numId w:val="1001"/>
        </w:numPr>
      </w:pPr>
      <w:r>
        <w:t xml:space="preserve">De afsluitende keuze die Europa nu maakt: poldergeest of gemeten besluit. Tekening op de muur, of installatie in Brazilië en Nigeria.</w:t>
      </w:r>
    </w:p>
    <w:p>
      <w:pPr>
        <w:pStyle w:val="FirstParagraph"/>
      </w:pPr>
      <w:r>
        <w:rPr>
          <w:i/>
          <w:iCs/>
        </w:rPr>
        <w:t xml:space="preserve">Deze aflevering wordt nog uitgewerkt met het stappenplan van besluit tot operationele uitvoering en de modelregelgeving die de drie richtlijnen vervangt.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2026-06-03T05:18:39Z</dcterms:created>
  <dcterms:modified xsi:type="dcterms:W3CDTF">2026-06-03T05:18:39Z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