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r>
        <w:t xml:space="preserve"/>
      </w:r>
    </w:p>
    <w:p>
      <w:pPr>
        <w:spacing w:after="200"/>
        <w:jc w:val="center"/>
      </w:pPr>
      <w:r>
        <w:rPr>
          <w:rFonts w:ascii="Calibri" w:cs="Calibri" w:eastAsia="Calibri" w:hAnsi="Calibri"/>
          <w:b/>
          <w:bCs/>
          <w:color w:val="1B474D"/>
          <w:sz w:val="72"/>
          <w:szCs w:val="72"/>
        </w:rPr>
        <w:t xml:space="preserve">Nova Democratia</w:t>
      </w:r>
    </w:p>
    <w:p>
      <w:pPr>
        <w:spacing w:after="600"/>
        <w:jc w:val="center"/>
      </w:pPr>
      <w:r>
        <w:rPr>
          <w:rFonts w:ascii="Calibri" w:cs="Calibri" w:eastAsia="Calibri" w:hAnsi="Calibri"/>
          <w:color w:val="20808D"/>
          <w:sz w:val="36"/>
          <w:szCs w:val="36"/>
        </w:rPr>
        <w:t xml:space="preserve">Transitiehandleiding voor Nederland</w:t>
      </w:r>
    </w:p>
    <w:p>
      <w:pPr>
        <w:spacing w:after="200"/>
        <w:jc w:val="center"/>
      </w:pPr>
      <w:r>
        <w:rPr>
          <w:rFonts w:ascii="Calibri" w:cs="Calibri" w:eastAsia="Calibri" w:hAnsi="Calibri"/>
          <w:color w:val="28251D"/>
          <w:sz w:val="26"/>
          <w:szCs w:val="26"/>
        </w:rPr>
        <w:t xml:space="preserve">Gefaseerde invoering, gewogen tegenstand,</w:t>
      </w:r>
    </w:p>
    <w:p>
      <w:pPr>
        <w:spacing w:after="1200"/>
        <w:jc w:val="center"/>
      </w:pPr>
      <w:r>
        <w:rPr>
          <w:rFonts w:ascii="Calibri" w:cs="Calibri" w:eastAsia="Calibri" w:hAnsi="Calibri"/>
          <w:color w:val="28251D"/>
          <w:sz w:val="26"/>
          <w:szCs w:val="26"/>
        </w:rPr>
        <w:t xml:space="preserve">en publieke ordeclassificatie</w:t>
      </w:r>
    </w:p>
    <w:p>
      <w:pPr>
        <w:spacing w:after="120"/>
        <w:jc w:val="center"/>
      </w:pPr>
      <w:r>
        <w:rPr>
          <w:rFonts w:ascii="Calibri" w:cs="Calibri" w:eastAsia="Calibri" w:hAnsi="Calibri"/>
          <w:color w:val="6B6B6B"/>
          <w:sz w:val="22"/>
          <w:szCs w:val="22"/>
        </w:rPr>
        <w:t xml:space="preserve">Auteur: Jacobus van Merksteijn</w:t>
      </w:r>
    </w:p>
    <w:p>
      <w:pPr>
        <w:spacing w:after="120"/>
        <w:jc w:val="center"/>
      </w:pPr>
      <w:r>
        <w:rPr>
          <w:rFonts w:ascii="Calibri" w:cs="Calibri" w:eastAsia="Calibri" w:hAnsi="Calibri"/>
          <w:color w:val="6B6B6B"/>
          <w:sz w:val="22"/>
          <w:szCs w:val="22"/>
        </w:rPr>
        <w:t xml:space="preserve">Werkdocument — juni 2026</w:t>
      </w:r>
    </w:p>
    <w:p>
      <w:pPr>
        <w:jc w:val="center"/>
      </w:pPr>
      <w:r>
        <w:rPr>
          <w:rFonts w:ascii="Calibri" w:cs="Calibri" w:eastAsia="Calibri" w:hAnsi="Calibri"/>
          <w:color w:val="6B6B6B"/>
          <w:sz w:val="22"/>
          <w:szCs w:val="22"/>
        </w:rPr>
        <w:t xml:space="preserve">novademocratia.com  ·  openvizier.org</w:t>
      </w:r>
    </w:p>
    <w:p>
      <w:pPr>
        <w:pageBreakBefore/>
        <w:spacing w:after="320"/>
      </w:pPr>
      <w:r>
        <w:rPr>
          <w:rFonts w:ascii="Calibri" w:cs="Calibri" w:eastAsia="Calibri" w:hAnsi="Calibri"/>
          <w:b/>
          <w:bCs/>
          <w:color w:val="1B474D"/>
          <w:sz w:val="40"/>
          <w:szCs w:val="40"/>
        </w:rPr>
        <w:t xml:space="preserve">Inhoudsopgave</w:t>
      </w:r>
    </w:p>
    <w:p>
      <w:pPr>
        <w:tabs>
          <w:tab w:val="right" w:pos="8926"/>
        </w:tabs>
        <w:spacing w:after="60" w:before="140"/>
      </w:pPr>
      <w:r>
        <w:rPr>
          <w:rFonts w:ascii="Calibri" w:cs="Calibri" w:eastAsia="Calibri" w:hAnsi="Calibri"/>
          <w:b/>
          <w:bCs/>
          <w:color w:val="1B474D"/>
          <w:sz w:val="24"/>
          <w:szCs w:val="24"/>
        </w:rPr>
        <w:t xml:space="preserve">1. </w:t>
      </w:r>
      <w:r>
        <w:rPr>
          <w:rFonts w:ascii="Calibri" w:cs="Calibri" w:eastAsia="Calibri" w:hAnsi="Calibri"/>
          <w:b/>
          <w:bCs/>
          <w:color w:val="1B474D"/>
          <w:sz w:val="24"/>
          <w:szCs w:val="24"/>
        </w:rPr>
        <w:t xml:space="preserve">Voorwoord en leeswijzer</w:t>
      </w:r>
      <w:r>
        <w:rPr>
          <w:rFonts w:ascii="Calibri" w:cs="Calibri" w:eastAsia="Calibri" w:hAnsi="Calibri"/>
          <w:color w:val="6B6B6B"/>
          <w:sz w:val="24"/>
          <w:szCs w:val="24"/>
        </w:rPr>
        <w:t xml:space="preserve">	4</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Waarom dit document bestaat</w:t>
      </w:r>
      <w:r>
        <w:rPr>
          <w:rFonts w:ascii="Calibri" w:cs="Calibri" w:eastAsia="Calibri" w:hAnsi="Calibri"/>
          <w:color w:val="6B6B6B"/>
          <w:sz w:val="22"/>
          <w:szCs w:val="22"/>
        </w:rPr>
        <w:t xml:space="preserve">	4</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Voor wie geschreven</w:t>
      </w:r>
      <w:r>
        <w:rPr>
          <w:rFonts w:ascii="Calibri" w:cs="Calibri" w:eastAsia="Calibri" w:hAnsi="Calibri"/>
          <w:color w:val="6B6B6B"/>
          <w:sz w:val="22"/>
          <w:szCs w:val="22"/>
        </w:rPr>
        <w:t xml:space="preserve">	4</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Hoe te lezen</w:t>
      </w:r>
      <w:r>
        <w:rPr>
          <w:rFonts w:ascii="Calibri" w:cs="Calibri" w:eastAsia="Calibri" w:hAnsi="Calibri"/>
          <w:color w:val="6B6B6B"/>
          <w:sz w:val="22"/>
          <w:szCs w:val="22"/>
        </w:rPr>
        <w:t xml:space="preserve">	4</w:t>
      </w:r>
    </w:p>
    <w:p>
      <w:pPr>
        <w:tabs>
          <w:tab w:val="right" w:pos="8926"/>
        </w:tabs>
        <w:spacing w:after="60" w:before="140"/>
      </w:pPr>
      <w:r>
        <w:rPr>
          <w:rFonts w:ascii="Calibri" w:cs="Calibri" w:eastAsia="Calibri" w:hAnsi="Calibri"/>
          <w:b/>
          <w:bCs/>
          <w:color w:val="1B474D"/>
          <w:sz w:val="24"/>
          <w:szCs w:val="24"/>
        </w:rPr>
        <w:t xml:space="preserve">2. </w:t>
      </w:r>
      <w:r>
        <w:rPr>
          <w:rFonts w:ascii="Calibri" w:cs="Calibri" w:eastAsia="Calibri" w:hAnsi="Calibri"/>
          <w:b/>
          <w:bCs/>
          <w:color w:val="1B474D"/>
          <w:sz w:val="24"/>
          <w:szCs w:val="24"/>
        </w:rPr>
        <w:t xml:space="preserve">De zes ordes van fasering</w:t>
      </w:r>
      <w:r>
        <w:rPr>
          <w:rFonts w:ascii="Calibri" w:cs="Calibri" w:eastAsia="Calibri" w:hAnsi="Calibri"/>
          <w:color w:val="6B6B6B"/>
          <w:sz w:val="24"/>
          <w:szCs w:val="24"/>
        </w:rPr>
        <w:t xml:space="preserve">	5</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Fase 0 — Voorbereiding</w:t>
      </w:r>
      <w:r>
        <w:rPr>
          <w:rFonts w:ascii="Calibri" w:cs="Calibri" w:eastAsia="Calibri" w:hAnsi="Calibri"/>
          <w:color w:val="6B6B6B"/>
          <w:sz w:val="22"/>
          <w:szCs w:val="22"/>
        </w:rPr>
        <w:t xml:space="preserve">	5</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Fase 1 — Transparantie- en meetlaag</w:t>
      </w:r>
      <w:r>
        <w:rPr>
          <w:rFonts w:ascii="Calibri" w:cs="Calibri" w:eastAsia="Calibri" w:hAnsi="Calibri"/>
          <w:color w:val="6B6B6B"/>
          <w:sz w:val="22"/>
          <w:szCs w:val="22"/>
        </w:rPr>
        <w:t xml:space="preserve">	5</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Fase 2 — Personeels- en beloningslaag</w:t>
      </w:r>
      <w:r>
        <w:rPr>
          <w:rFonts w:ascii="Calibri" w:cs="Calibri" w:eastAsia="Calibri" w:hAnsi="Calibri"/>
          <w:color w:val="6B6B6B"/>
          <w:sz w:val="22"/>
          <w:szCs w:val="22"/>
        </w:rPr>
        <w:t xml:space="preserve">	6</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Fase 3 — Deliberatie- en stemlaag</w:t>
      </w:r>
      <w:r>
        <w:rPr>
          <w:rFonts w:ascii="Calibri" w:cs="Calibri" w:eastAsia="Calibri" w:hAnsi="Calibri"/>
          <w:color w:val="6B6B6B"/>
          <w:sz w:val="22"/>
          <w:szCs w:val="22"/>
        </w:rPr>
        <w:t xml:space="preserve">	6</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Fase 4 — Wetslaag met sunsetsysteem</w:t>
      </w:r>
      <w:r>
        <w:rPr>
          <w:rFonts w:ascii="Calibri" w:cs="Calibri" w:eastAsia="Calibri" w:hAnsi="Calibri"/>
          <w:color w:val="6B6B6B"/>
          <w:sz w:val="22"/>
          <w:szCs w:val="22"/>
        </w:rPr>
        <w:t xml:space="preserve">	7</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Fase 5 — Onderwijsfundament</w:t>
      </w:r>
      <w:r>
        <w:rPr>
          <w:rFonts w:ascii="Calibri" w:cs="Calibri" w:eastAsia="Calibri" w:hAnsi="Calibri"/>
          <w:color w:val="6B6B6B"/>
          <w:sz w:val="22"/>
          <w:szCs w:val="22"/>
        </w:rPr>
        <w:t xml:space="preserve">	7</w:t>
      </w:r>
    </w:p>
    <w:p>
      <w:pPr>
        <w:tabs>
          <w:tab w:val="right" w:pos="8926"/>
        </w:tabs>
        <w:spacing w:after="60" w:before="140"/>
      </w:pPr>
      <w:r>
        <w:rPr>
          <w:rFonts w:ascii="Calibri" w:cs="Calibri" w:eastAsia="Calibri" w:hAnsi="Calibri"/>
          <w:b/>
          <w:bCs/>
          <w:color w:val="1B474D"/>
          <w:sz w:val="24"/>
          <w:szCs w:val="24"/>
        </w:rPr>
        <w:t xml:space="preserve">3. </w:t>
      </w:r>
      <w:r>
        <w:rPr>
          <w:rFonts w:ascii="Calibri" w:cs="Calibri" w:eastAsia="Calibri" w:hAnsi="Calibri"/>
          <w:b/>
          <w:bCs/>
          <w:color w:val="1B474D"/>
          <w:sz w:val="24"/>
          <w:szCs w:val="24"/>
        </w:rPr>
        <w:t xml:space="preserve">Gewogen Pareto-analyse van de tegenstand</w:t>
      </w:r>
      <w:r>
        <w:rPr>
          <w:rFonts w:ascii="Calibri" w:cs="Calibri" w:eastAsia="Calibri" w:hAnsi="Calibri"/>
          <w:color w:val="6B6B6B"/>
          <w:sz w:val="24"/>
          <w:szCs w:val="24"/>
        </w:rPr>
        <w:t xml:space="preserve">	8</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Waarom standaard-Pareto niet werkt</w:t>
      </w:r>
      <w:r>
        <w:rPr>
          <w:rFonts w:ascii="Calibri" w:cs="Calibri" w:eastAsia="Calibri" w:hAnsi="Calibri"/>
          <w:color w:val="6B6B6B"/>
          <w:sz w:val="22"/>
          <w:szCs w:val="22"/>
        </w:rPr>
        <w:t xml:space="preserve">	8</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Top-12 tegenstandersgroepen</w:t>
      </w:r>
      <w:r>
        <w:rPr>
          <w:rFonts w:ascii="Calibri" w:cs="Calibri" w:eastAsia="Calibri" w:hAnsi="Calibri"/>
          <w:color w:val="6B6B6B"/>
          <w:sz w:val="22"/>
          <w:szCs w:val="22"/>
        </w:rPr>
        <w:t xml:space="preserve">	8</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Wat de cijfers vertellen</w:t>
      </w:r>
      <w:r>
        <w:rPr>
          <w:rFonts w:ascii="Calibri" w:cs="Calibri" w:eastAsia="Calibri" w:hAnsi="Calibri"/>
          <w:color w:val="6B6B6B"/>
          <w:sz w:val="22"/>
          <w:szCs w:val="22"/>
        </w:rPr>
        <w:t xml:space="preserve">	9</w:t>
      </w:r>
    </w:p>
    <w:p>
      <w:pPr>
        <w:tabs>
          <w:tab w:val="right" w:pos="8926"/>
        </w:tabs>
        <w:spacing w:after="60" w:before="140"/>
      </w:pPr>
      <w:r>
        <w:rPr>
          <w:rFonts w:ascii="Calibri" w:cs="Calibri" w:eastAsia="Calibri" w:hAnsi="Calibri"/>
          <w:b/>
          <w:bCs/>
          <w:color w:val="1B474D"/>
          <w:sz w:val="24"/>
          <w:szCs w:val="24"/>
        </w:rPr>
        <w:t xml:space="preserve">4. </w:t>
      </w:r>
      <w:r>
        <w:rPr>
          <w:rFonts w:ascii="Calibri" w:cs="Calibri" w:eastAsia="Calibri" w:hAnsi="Calibri"/>
          <w:b/>
          <w:bCs/>
          <w:color w:val="1B474D"/>
          <w:sz w:val="24"/>
          <w:szCs w:val="24"/>
        </w:rPr>
        <w:t xml:space="preserve">Media als hefboom — zonder meting geen verbouwing</w:t>
      </w:r>
      <w:r>
        <w:rPr>
          <w:rFonts w:ascii="Calibri" w:cs="Calibri" w:eastAsia="Calibri" w:hAnsi="Calibri"/>
          <w:color w:val="6B6B6B"/>
          <w:sz w:val="24"/>
          <w:szCs w:val="24"/>
        </w:rPr>
        <w:t xml:space="preserve">	11</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De analogie met staalconstructie</w:t>
      </w:r>
      <w:r>
        <w:rPr>
          <w:rFonts w:ascii="Calibri" w:cs="Calibri" w:eastAsia="Calibri" w:hAnsi="Calibri"/>
          <w:color w:val="6B6B6B"/>
          <w:sz w:val="22"/>
          <w:szCs w:val="22"/>
        </w:rPr>
        <w:t xml:space="preserve">	11</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Media is de strain gauge</w:t>
      </w:r>
      <w:r>
        <w:rPr>
          <w:rFonts w:ascii="Calibri" w:cs="Calibri" w:eastAsia="Calibri" w:hAnsi="Calibri"/>
          <w:color w:val="6B6B6B"/>
          <w:sz w:val="22"/>
          <w:szCs w:val="22"/>
        </w:rPr>
        <w:t xml:space="preserve">	11</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Drie indicatoren die het volk moet leren lezen</w:t>
      </w:r>
      <w:r>
        <w:rPr>
          <w:rFonts w:ascii="Calibri" w:cs="Calibri" w:eastAsia="Calibri" w:hAnsi="Calibri"/>
          <w:color w:val="6B6B6B"/>
          <w:sz w:val="22"/>
          <w:szCs w:val="22"/>
        </w:rPr>
        <w:t xml:space="preserve">	12</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Waarom media voorop staat</w:t>
      </w:r>
      <w:r>
        <w:rPr>
          <w:rFonts w:ascii="Calibri" w:cs="Calibri" w:eastAsia="Calibri" w:hAnsi="Calibri"/>
          <w:color w:val="6B6B6B"/>
          <w:sz w:val="22"/>
          <w:szCs w:val="22"/>
        </w:rPr>
        <w:t xml:space="preserve">	12</w:t>
      </w:r>
    </w:p>
    <w:p>
      <w:pPr>
        <w:tabs>
          <w:tab w:val="right" w:pos="8926"/>
        </w:tabs>
        <w:spacing w:after="60" w:before="140"/>
      </w:pPr>
      <w:r>
        <w:rPr>
          <w:rFonts w:ascii="Calibri" w:cs="Calibri" w:eastAsia="Calibri" w:hAnsi="Calibri"/>
          <w:b/>
          <w:bCs/>
          <w:color w:val="1B474D"/>
          <w:sz w:val="24"/>
          <w:szCs w:val="24"/>
        </w:rPr>
        <w:t xml:space="preserve">5. </w:t>
      </w:r>
      <w:r>
        <w:rPr>
          <w:rFonts w:ascii="Calibri" w:cs="Calibri" w:eastAsia="Calibri" w:hAnsi="Calibri"/>
          <w:b/>
          <w:bCs/>
          <w:color w:val="1B474D"/>
          <w:sz w:val="24"/>
          <w:szCs w:val="24"/>
        </w:rPr>
        <w:t xml:space="preserve">Ordes van sterkte — publieke classificatiestandaard</w:t>
      </w:r>
      <w:r>
        <w:rPr>
          <w:rFonts w:ascii="Calibri" w:cs="Calibri" w:eastAsia="Calibri" w:hAnsi="Calibri"/>
          <w:color w:val="6B6B6B"/>
          <w:sz w:val="24"/>
          <w:szCs w:val="24"/>
        </w:rPr>
        <w:t xml:space="preserve">	13</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Het principe</w:t>
      </w:r>
      <w:r>
        <w:rPr>
          <w:rFonts w:ascii="Calibri" w:cs="Calibri" w:eastAsia="Calibri" w:hAnsi="Calibri"/>
          <w:color w:val="6B6B6B"/>
          <w:sz w:val="22"/>
          <w:szCs w:val="22"/>
        </w:rPr>
        <w:t xml:space="preserve">	13</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De vier ordes</w:t>
      </w:r>
      <w:r>
        <w:rPr>
          <w:rFonts w:ascii="Calibri" w:cs="Calibri" w:eastAsia="Calibri" w:hAnsi="Calibri"/>
          <w:color w:val="6B6B6B"/>
          <w:sz w:val="22"/>
          <w:szCs w:val="22"/>
        </w:rPr>
        <w:t xml:space="preserve">	13</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De beslisboom</w:t>
      </w:r>
      <w:r>
        <w:rPr>
          <w:rFonts w:ascii="Calibri" w:cs="Calibri" w:eastAsia="Calibri" w:hAnsi="Calibri"/>
          <w:color w:val="6B6B6B"/>
          <w:sz w:val="22"/>
          <w:szCs w:val="22"/>
        </w:rPr>
        <w:t xml:space="preserve">	14</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Publicatieformat</w:t>
      </w:r>
      <w:r>
        <w:rPr>
          <w:rFonts w:ascii="Calibri" w:cs="Calibri" w:eastAsia="Calibri" w:hAnsi="Calibri"/>
          <w:color w:val="6B6B6B"/>
          <w:sz w:val="22"/>
          <w:szCs w:val="22"/>
        </w:rPr>
        <w:t xml:space="preserve">	14</w:t>
      </w:r>
    </w:p>
    <w:p>
      <w:pPr>
        <w:tabs>
          <w:tab w:val="right" w:pos="8926"/>
        </w:tabs>
        <w:spacing w:after="60" w:before="140"/>
      </w:pPr>
      <w:r>
        <w:rPr>
          <w:rFonts w:ascii="Calibri" w:cs="Calibri" w:eastAsia="Calibri" w:hAnsi="Calibri"/>
          <w:b/>
          <w:bCs/>
          <w:color w:val="1B474D"/>
          <w:sz w:val="24"/>
          <w:szCs w:val="24"/>
        </w:rPr>
        <w:t xml:space="preserve">6. </w:t>
      </w:r>
      <w:r>
        <w:rPr>
          <w:rFonts w:ascii="Calibri" w:cs="Calibri" w:eastAsia="Calibri" w:hAnsi="Calibri"/>
          <w:b/>
          <w:bCs/>
          <w:color w:val="1B474D"/>
          <w:sz w:val="24"/>
          <w:szCs w:val="24"/>
        </w:rPr>
        <w:t xml:space="preserve">Twintig actuele bezwaren, geclassificeerd</w:t>
      </w:r>
      <w:r>
        <w:rPr>
          <w:rFonts w:ascii="Calibri" w:cs="Calibri" w:eastAsia="Calibri" w:hAnsi="Calibri"/>
          <w:color w:val="6B6B6B"/>
          <w:sz w:val="24"/>
          <w:szCs w:val="24"/>
        </w:rPr>
        <w:t xml:space="preserve">	15</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Verdeling over de ordes</w:t>
      </w:r>
      <w:r>
        <w:rPr>
          <w:rFonts w:ascii="Calibri" w:cs="Calibri" w:eastAsia="Calibri" w:hAnsi="Calibri"/>
          <w:color w:val="6B6B6B"/>
          <w:sz w:val="22"/>
          <w:szCs w:val="22"/>
        </w:rPr>
        <w:t xml:space="preserve">	17</w:t>
      </w:r>
    </w:p>
    <w:p>
      <w:pPr>
        <w:tabs>
          <w:tab w:val="right" w:pos="8926"/>
        </w:tabs>
        <w:spacing w:after="60" w:before="140"/>
      </w:pPr>
      <w:r>
        <w:rPr>
          <w:rFonts w:ascii="Calibri" w:cs="Calibri" w:eastAsia="Calibri" w:hAnsi="Calibri"/>
          <w:b/>
          <w:bCs/>
          <w:color w:val="1B474D"/>
          <w:sz w:val="24"/>
          <w:szCs w:val="24"/>
        </w:rPr>
        <w:t xml:space="preserve">7. </w:t>
      </w:r>
      <w:r>
        <w:rPr>
          <w:rFonts w:ascii="Calibri" w:cs="Calibri" w:eastAsia="Calibri" w:hAnsi="Calibri"/>
          <w:b/>
          <w:bCs/>
          <w:color w:val="1B474D"/>
          <w:sz w:val="24"/>
          <w:szCs w:val="24"/>
        </w:rPr>
        <w:t xml:space="preserve">Pareto-samenvatting en operationele volgende stappen</w:t>
      </w:r>
      <w:r>
        <w:rPr>
          <w:rFonts w:ascii="Calibri" w:cs="Calibri" w:eastAsia="Calibri" w:hAnsi="Calibri"/>
          <w:color w:val="6B6B6B"/>
          <w:sz w:val="24"/>
          <w:szCs w:val="24"/>
        </w:rPr>
        <w:t xml:space="preserve">	18</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Vier grafieken die het hele dossier samenvatten</w:t>
      </w:r>
      <w:r>
        <w:rPr>
          <w:rFonts w:ascii="Calibri" w:cs="Calibri" w:eastAsia="Calibri" w:hAnsi="Calibri"/>
          <w:color w:val="6B6B6B"/>
          <w:sz w:val="22"/>
          <w:szCs w:val="22"/>
        </w:rPr>
        <w:t xml:space="preserve">	18</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Cumulatief effect van het hele model</w:t>
      </w:r>
      <w:r>
        <w:rPr>
          <w:rFonts w:ascii="Calibri" w:cs="Calibri" w:eastAsia="Calibri" w:hAnsi="Calibri"/>
          <w:color w:val="6B6B6B"/>
          <w:sz w:val="22"/>
          <w:szCs w:val="22"/>
        </w:rPr>
        <w:t xml:space="preserve">	18</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Operationele volgende stappen</w:t>
      </w:r>
      <w:r>
        <w:rPr>
          <w:rFonts w:ascii="Calibri" w:cs="Calibri" w:eastAsia="Calibri" w:hAnsi="Calibri"/>
          <w:color w:val="6B6B6B"/>
          <w:sz w:val="22"/>
          <w:szCs w:val="22"/>
        </w:rPr>
        <w:t xml:space="preserve">	19</w:t>
      </w:r>
    </w:p>
    <w:p>
      <w:pPr>
        <w:tabs>
          <w:tab w:val="right" w:pos="8926"/>
        </w:tabs>
        <w:spacing w:after="30" w:before="30"/>
      </w:pPr>
      <w:r>
        <w:rPr>
          <w:rFonts w:ascii="Calibri" w:cs="Calibri" w:eastAsia="Calibri" w:hAnsi="Calibri"/>
          <w:b w:val="false"/>
          <w:bCs w:val="false"/>
          <w:color w:val="28251D"/>
          <w:sz w:val="22"/>
          <w:szCs w:val="22"/>
        </w:rPr>
        <w:t xml:space="preserve"/>
      </w:r>
      <w:r>
        <w:rPr>
          <w:rFonts w:ascii="Calibri" w:cs="Calibri" w:eastAsia="Calibri" w:hAnsi="Calibri"/>
          <w:b w:val="false"/>
          <w:bCs w:val="false"/>
          <w:color w:val="28251D"/>
          <w:sz w:val="22"/>
          <w:szCs w:val="22"/>
        </w:rPr>
        <w:t xml:space="preserve">    Slotwoord</w:t>
      </w:r>
      <w:r>
        <w:rPr>
          <w:rFonts w:ascii="Calibri" w:cs="Calibri" w:eastAsia="Calibri" w:hAnsi="Calibri"/>
          <w:color w:val="6B6B6B"/>
          <w:sz w:val="22"/>
          <w:szCs w:val="22"/>
        </w:rPr>
        <w:t xml:space="preserve">	20</w:t>
      </w:r>
    </w:p>
    <w:p>
      <w:pPr>
        <w:pStyle w:val="Heading1"/>
        <w:pageBreakBefore/>
        <w:spacing w:after="200" w:before="360"/>
      </w:pPr>
      <w:r>
        <w:rPr>
          <w:rFonts w:ascii="Calibri" w:cs="Calibri" w:eastAsia="Calibri" w:hAnsi="Calibri"/>
          <w:b/>
          <w:bCs/>
          <w:color w:val="1B474D"/>
          <w:sz w:val="40"/>
          <w:szCs w:val="40"/>
        </w:rPr>
        <w:t xml:space="preserve">1. Voorwoord en leeswijzer</w:t>
      </w:r>
    </w:p>
    <w:p>
      <w:pPr>
        <w:pStyle w:val="Heading2"/>
        <w:spacing w:after="140" w:before="300"/>
      </w:pPr>
      <w:r>
        <w:rPr>
          <w:rFonts w:ascii="Calibri" w:cs="Calibri" w:eastAsia="Calibri" w:hAnsi="Calibri"/>
          <w:b/>
          <w:bCs/>
          <w:color w:val="1B474D"/>
          <w:sz w:val="30"/>
          <w:szCs w:val="30"/>
        </w:rPr>
        <w:t xml:space="preserve">Waarom dit document bestaat</w:t>
      </w:r>
    </w:p>
    <w:p>
      <w:pPr>
        <w:spacing w:after="120" w:before="80" w:line="320"/>
        <w:jc w:val="both"/>
      </w:pPr>
      <w:r>
        <w:rPr>
          <w:rFonts w:ascii="Calibri" w:cs="Calibri" w:eastAsia="Calibri" w:hAnsi="Calibri"/>
          <w:color w:val="28251D"/>
          <w:sz w:val="22"/>
          <w:szCs w:val="22"/>
        </w:rPr>
        <w:t xml:space="preserve">Nova Democratia is geen kritiek op de Nederlandse democratie. Het is een herontwerp van de constructie waarop democratie rust. Net zoals een ingenieur niet protesteert tegen een oude brug, maar berekent of de constructie de huidige belasting nog draagt, vraagt dit document niet of het huidige bestel goed of slecht is. Het vraagt: kan de constructie de belastingen van de 21e eeuw nog dragen, en zo niet, hoe verbouwen wij hem zonder dat hij tijdens de verbouwing instort?</w:t>
      </w:r>
    </w:p>
    <w:p>
      <w:pPr>
        <w:spacing w:after="120" w:before="80" w:line="320"/>
        <w:jc w:val="both"/>
      </w:pPr>
      <w:r>
        <w:rPr>
          <w:rFonts w:ascii="Calibri" w:cs="Calibri" w:eastAsia="Calibri" w:hAnsi="Calibri"/>
          <w:color w:val="28251D"/>
          <w:sz w:val="22"/>
          <w:szCs w:val="22"/>
        </w:rPr>
        <w:t xml:space="preserve">De vraag is volgordelijk: welke onderdelen vervangen we eerst, welke laatst, en hoe weten we dat elke stap de constructie niet verzwakt maar versterkt? Dit document geeft het antwoord in zes fases, met een gewogen analyse van wie en wat zich tegen elke fase zal verzetten, en met een methode om die tegenstand publiek te classificeren zodat zij niet langer als gelijkwaardige stem maar als geclassificeerde belasting wordt behandeld.</w:t>
      </w:r>
    </w:p>
    <w:p>
      <w:pPr>
        <w:pStyle w:val="Heading2"/>
        <w:spacing w:after="140" w:before="300"/>
      </w:pPr>
      <w:r>
        <w:rPr>
          <w:rFonts w:ascii="Calibri" w:cs="Calibri" w:eastAsia="Calibri" w:hAnsi="Calibri"/>
          <w:b/>
          <w:bCs/>
          <w:color w:val="1B474D"/>
          <w:sz w:val="30"/>
          <w:szCs w:val="30"/>
        </w:rPr>
        <w:t xml:space="preserve">Voor wie geschreven</w:t>
      </w:r>
    </w:p>
    <w:p>
      <w:pPr>
        <w:spacing w:after="120" w:before="80" w:line="320"/>
        <w:jc w:val="both"/>
      </w:pPr>
      <w:r>
        <w:rPr>
          <w:rFonts w:ascii="Calibri" w:cs="Calibri" w:eastAsia="Calibri" w:hAnsi="Calibri"/>
          <w:color w:val="28251D"/>
          <w:sz w:val="22"/>
          <w:szCs w:val="22"/>
        </w:rPr>
        <w:t xml:space="preserve">Voor drie typen lezer: de geïnteresseerde burger die wil begrijpen waarom de huidige democratie steeds slechter werkt en wat een alternatief eruit kan zien; de bestuurskundige of politicus die de transitievolgorde technisch wil doorgronden; en de toekomstige uitvoerder die het document gebruikt als operationeel draaiboek voor invoering. Iedere lezer kan op zijn eigen niveau instappen: de hoofdtekst is voor de eerste, de tabellen en Pareto-analyses voor de tweede, het classificatieprotocol voor de derde.</w:t>
      </w:r>
    </w:p>
    <w:p>
      <w:pPr>
        <w:pStyle w:val="Heading2"/>
        <w:spacing w:after="140" w:before="300"/>
      </w:pPr>
      <w:r>
        <w:rPr>
          <w:rFonts w:ascii="Calibri" w:cs="Calibri" w:eastAsia="Calibri" w:hAnsi="Calibri"/>
          <w:b/>
          <w:bCs/>
          <w:color w:val="1B474D"/>
          <w:sz w:val="30"/>
          <w:szCs w:val="30"/>
        </w:rPr>
        <w:t xml:space="preserve">Hoe te lezen</w:t>
      </w:r>
    </w:p>
    <w:p>
      <w:pPr>
        <w:spacing w:after="120" w:before="80" w:line="320"/>
        <w:jc w:val="both"/>
      </w:pPr>
      <w:r>
        <w:rPr>
          <w:rFonts w:ascii="Calibri" w:cs="Calibri" w:eastAsia="Calibri" w:hAnsi="Calibri"/>
          <w:color w:val="28251D"/>
          <w:sz w:val="22"/>
          <w:szCs w:val="22"/>
        </w:rPr>
        <w:t xml:space="preserve">Het document volgt de logica van een constructieberekening. Hoofdstuk 2 stelt de baseline vast — de zes ordes van fasering. Hoofdstuk 3 analyseert de tegenstand met de gewogen Pareto-methode. Hoofdstuk 4 introduceert de mediahefboom als voorwaarde voor alle structurele verandering. Hoofdstuk 5 legt het ordes-denken uit als publieke classificatiestandaard. Hoofdstuk 6 toont het protocol in actie aan de hand van twintig actuele bezwaren. Hoofdstuk 7 vat de hele redenering samen in vier Pareto-grafieken en geeft de operationele volgende stappen.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0808D" w:sz="6"/>
              <w:left w:val="single" w:color="20808D" w:sz="18"/>
              <w:bottom w:val="single" w:color="20808D" w:sz="6"/>
              <w:right w:val="single" w:color="20808D" w:sz="6"/>
            </w:tcBorders>
            <w:shd w:fill="E8F0F1" w:val="clear"/>
            <w:tcMar>
              <w:top w:type="dxa" w:w="200"/>
              <w:left w:type="dxa" w:w="240"/>
              <w:bottom w:type="dxa" w:w="200"/>
              <w:right w:type="dxa" w:w="240"/>
            </w:tcMar>
          </w:tcPr>
          <w:p>
            <w:pPr>
              <w:spacing w:after="100"/>
            </w:pPr>
            <w:r>
              <w:rPr>
                <w:rFonts w:ascii="Calibri" w:cs="Calibri" w:eastAsia="Calibri" w:hAnsi="Calibri"/>
                <w:b/>
                <w:bCs/>
                <w:color w:val="1B474D"/>
                <w:sz w:val="22"/>
                <w:szCs w:val="22"/>
              </w:rPr>
              <w:t xml:space="preserve">Kerngedachte van dit document</w:t>
            </w:r>
          </w:p>
          <w:p>
            <w:pPr>
              <w:spacing w:line="320"/>
            </w:pPr>
            <w:r>
              <w:rPr>
                <w:rFonts w:ascii="Calibri" w:cs="Calibri" w:eastAsia="Calibri" w:hAnsi="Calibri"/>
                <w:color w:val="28251D"/>
                <w:sz w:val="22"/>
                <w:szCs w:val="22"/>
              </w:rPr>
              <w:t xml:space="preserve">Een betere democratie ontstaat niet door betere argumenten in een slecht systeem, maar door een systeem dat argumenten kan classificeren naar hun werkelijke draagkracht. Media is daarbij niet één instrument tussen vele — media is het meetinstrument zelf, en zonder meetinstrument is geen enkele hervorming verantwoord uitvoerbaar.</w:t>
            </w:r>
          </w:p>
        </w:tc>
      </w:tr>
    </w:tbl>
    <w:p>
      <w:pPr>
        <w:pStyle w:val="Heading1"/>
        <w:pageBreakBefore/>
        <w:spacing w:after="200" w:before="360"/>
      </w:pPr>
      <w:r>
        <w:rPr>
          <w:rFonts w:ascii="Calibri" w:cs="Calibri" w:eastAsia="Calibri" w:hAnsi="Calibri"/>
          <w:b/>
          <w:bCs/>
          <w:color w:val="1B474D"/>
          <w:sz w:val="40"/>
          <w:szCs w:val="40"/>
        </w:rPr>
        <w:t xml:space="preserve">2. De zes ordes van fasering</w:t>
      </w:r>
    </w:p>
    <w:p>
      <w:pPr>
        <w:spacing w:after="120" w:before="80" w:line="320"/>
        <w:jc w:val="both"/>
      </w:pPr>
      <w:r>
        <w:rPr>
          <w:rFonts w:ascii="Calibri" w:cs="Calibri" w:eastAsia="Calibri" w:hAnsi="Calibri"/>
          <w:color w:val="28251D"/>
          <w:sz w:val="22"/>
          <w:szCs w:val="22"/>
        </w:rPr>
        <w:t xml:space="preserve">Een directe overgang van het huidige Nederlandse bestel naar Nova Democratia is onmogelijk. Bestaande wetten verlopen niet vanzelf, ambtenaren en bestuurders missen de competenties voor KPI-bestuur, en burgers zijn niet getraind in deliberatie en dubbele stemming. De transitie moet in lagen plaatsvinden. Elke laag produceert data die de volgende laag legitimeert. Dit is geen politieke voorkeur, het is de fysieke noodzaak van elke complexe verbouwing aan een dragende constructie.</w:t>
      </w:r>
    </w:p>
    <w:p>
      <w:pPr>
        <w:spacing w:after="120" w:before="80" w:line="320"/>
        <w:jc w:val="both"/>
      </w:pPr>
      <w:r>
        <w:rPr>
          <w:rFonts w:ascii="Calibri" w:cs="Calibri" w:eastAsia="Calibri" w:hAnsi="Calibri"/>
          <w:color w:val="28251D"/>
          <w:sz w:val="22"/>
          <w:szCs w:val="22"/>
        </w:rPr>
        <w:t xml:space="preserve">Hieronder zes fases, in de volgorde waarin zij gestart worden. Fase 0 t/m 4 lopen sequentieel. Fase 5 (onderwijs) start parallel met Fase 1 en loopt tien jaar of langer door. Voor elke fase staat het doel, de concrete maatregelen, en de uitwerking — wat de burger merkt en wat het systeem doet.</w:t>
      </w:r>
    </w:p>
    <w:p>
      <w:pPr>
        <w:pStyle w:val="Heading2"/>
        <w:spacing w:after="140" w:before="300"/>
      </w:pPr>
      <w:r>
        <w:rPr>
          <w:rFonts w:ascii="Calibri" w:cs="Calibri" w:eastAsia="Calibri" w:hAnsi="Calibri"/>
          <w:b/>
          <w:bCs/>
          <w:color w:val="1B474D"/>
          <w:sz w:val="30"/>
          <w:szCs w:val="30"/>
        </w:rPr>
        <w:t xml:space="preserve">Fase 0 — Voorbereiding (jaar 0, ca. 6–12 maanden)</w:t>
      </w:r>
    </w:p>
    <w:p>
      <w:pPr>
        <w:spacing w:after="120" w:before="80" w:line="320"/>
        <w:jc w:val="both"/>
      </w:pPr>
      <w:r>
        <w:rPr>
          <w:rFonts w:ascii="Calibri" w:cs="Calibri" w:eastAsia="Calibri" w:hAnsi="Calibri"/>
          <w:color w:val="28251D"/>
          <w:sz w:val="22"/>
          <w:szCs w:val="22"/>
        </w:rPr>
        <w:t xml:space="preserve">Doel: politiek en juridisch fundament leggen zonder nog iets in werking te stellen.</w:t>
      </w:r>
    </w:p>
    <w:p>
      <w:pPr>
        <w:pStyle w:val="ListParagraph"/>
        <w:numPr>
          <w:ilvl w:val="0"/>
          <w:numId w:val="2"/>
        </w:numPr>
        <w:spacing w:after="40" w:before="40" w:line="300"/>
      </w:pPr>
      <w:r>
        <w:rPr>
          <w:rFonts w:ascii="Calibri" w:cs="Calibri" w:eastAsia="Calibri" w:hAnsi="Calibri"/>
          <w:color w:val="28251D"/>
          <w:sz w:val="22"/>
          <w:szCs w:val="22"/>
        </w:rPr>
        <w:t xml:space="preserve">Oprichting beweging tegen ambtenarenmacht en voor Nova Democratia, met het VMP-grondwetsvoorstel als kernprogramma.</w:t>
      </w:r>
    </w:p>
    <w:p>
      <w:pPr>
        <w:pStyle w:val="ListParagraph"/>
        <w:numPr>
          <w:ilvl w:val="0"/>
          <w:numId w:val="2"/>
        </w:numPr>
        <w:spacing w:after="40" w:before="40" w:line="300"/>
      </w:pPr>
      <w:r>
        <w:rPr>
          <w:rFonts w:ascii="Calibri" w:cs="Calibri" w:eastAsia="Calibri" w:hAnsi="Calibri"/>
          <w:color w:val="28251D"/>
          <w:sz w:val="22"/>
          <w:szCs w:val="22"/>
        </w:rPr>
        <w:t xml:space="preserve">Juridische voorbereiding: ontwerp-grondwetswijziging voor sunsetclausules op alle wetten, machtenscheiding 2.0 met vierde (controlerende) macht, afschaffing Balkenende-norm voor beleidspersoneel, en Artikel 32 over mediafinanciering.</w:t>
      </w:r>
    </w:p>
    <w:p>
      <w:pPr>
        <w:pStyle w:val="ListParagraph"/>
        <w:numPr>
          <w:ilvl w:val="0"/>
          <w:numId w:val="2"/>
        </w:numPr>
        <w:spacing w:after="40" w:before="40" w:line="300"/>
      </w:pPr>
      <w:r>
        <w:rPr>
          <w:rFonts w:ascii="Calibri" w:cs="Calibri" w:eastAsia="Calibri" w:hAnsi="Calibri"/>
          <w:color w:val="28251D"/>
          <w:sz w:val="22"/>
          <w:szCs w:val="22"/>
        </w:rPr>
        <w:t xml:space="preserve">Vaststelling van de 24 VMP-kernvelden en de bijbehorende KPI-definities per bestuurslaag (gemeente, provincie, Rijk).</w:t>
      </w:r>
    </w:p>
    <w:p>
      <w:pPr>
        <w:pStyle w:val="ListParagraph"/>
        <w:numPr>
          <w:ilvl w:val="0"/>
          <w:numId w:val="2"/>
        </w:numPr>
        <w:spacing w:after="40" w:before="40" w:line="300"/>
      </w:pPr>
      <w:r>
        <w:rPr>
          <w:rFonts w:ascii="Calibri" w:cs="Calibri" w:eastAsia="Calibri" w:hAnsi="Calibri"/>
          <w:color w:val="28251D"/>
          <w:sz w:val="22"/>
          <w:szCs w:val="22"/>
        </w:rPr>
        <w:t xml:space="preserve">Nulmeting: per bestuurslaag worden alle 24 kernvelden gewaardeerd. Zonder waarderingscijfer kan de 20%-doeldrempel later niet ingevoerd worden — dat is de logische volgorde die op novademocratia.com is vastgelegd.</w:t>
      </w:r>
    </w:p>
    <w:p>
      <w:pPr>
        <w:spacing w:after="120" w:before="80" w:line="320"/>
        <w:jc w:val="both"/>
      </w:pPr>
      <w:r>
        <w:rPr>
          <w:rFonts w:ascii="Calibri" w:cs="Calibri" w:eastAsia="Calibri" w:hAnsi="Calibri"/>
          <w:color w:val="28251D"/>
          <w:sz w:val="22"/>
          <w:szCs w:val="22"/>
        </w:rPr>
        <w:t xml:space="preserve">Uitwerking: nog geen burger merkt iets, maar er ligt een meetbare baseline. Zonder deze fase is elke latere stap willekeurig — vergelijkbaar met een aannemer die zonder constructietekening begint te slopen.</w:t>
      </w:r>
    </w:p>
    <w:p>
      <w:pPr>
        <w:pStyle w:val="Heading2"/>
        <w:spacing w:after="140" w:before="300"/>
      </w:pPr>
      <w:r>
        <w:rPr>
          <w:rFonts w:ascii="Calibri" w:cs="Calibri" w:eastAsia="Calibri" w:hAnsi="Calibri"/>
          <w:b/>
          <w:bCs/>
          <w:color w:val="1B474D"/>
          <w:sz w:val="30"/>
          <w:szCs w:val="30"/>
        </w:rPr>
        <w:t xml:space="preserve">Fase 1 — Transparantie- en meetlaag (jaar 1–2)</w:t>
      </w:r>
    </w:p>
    <w:p>
      <w:pPr>
        <w:spacing w:after="120" w:before="80" w:line="320"/>
        <w:jc w:val="both"/>
      </w:pPr>
      <w:r>
        <w:rPr>
          <w:rFonts w:ascii="Calibri" w:cs="Calibri" w:eastAsia="Calibri" w:hAnsi="Calibri"/>
          <w:color w:val="28251D"/>
          <w:sz w:val="22"/>
          <w:szCs w:val="22"/>
        </w:rPr>
        <w:t xml:space="preserve">Doel: prestatie zichtbaar maken vóórdat er aan beloning of selectie wordt geraakt.</w:t>
      </w:r>
    </w:p>
    <w:p>
      <w:pPr>
        <w:pStyle w:val="ListParagraph"/>
        <w:numPr>
          <w:ilvl w:val="0"/>
          <w:numId w:val="2"/>
        </w:numPr>
        <w:spacing w:after="40" w:before="40" w:line="300"/>
      </w:pPr>
      <w:r>
        <w:rPr>
          <w:rFonts w:ascii="Calibri" w:cs="Calibri" w:eastAsia="Calibri" w:hAnsi="Calibri"/>
          <w:color w:val="28251D"/>
          <w:sz w:val="22"/>
          <w:szCs w:val="22"/>
        </w:rPr>
        <w:t xml:space="preserve">Publiek Prestatiedashboard live op alle drie bestuurslagen. Elke publieke dienst krijgt een kosten-per-eenheid-resultaat indicator. Transparantie eerst, oordeel later.</w:t>
      </w:r>
    </w:p>
    <w:p>
      <w:pPr>
        <w:pStyle w:val="ListParagraph"/>
        <w:numPr>
          <w:ilvl w:val="0"/>
          <w:numId w:val="2"/>
        </w:numPr>
        <w:spacing w:after="40" w:before="40" w:line="300"/>
      </w:pPr>
      <w:r>
        <w:rPr>
          <w:rFonts w:ascii="Calibri" w:cs="Calibri" w:eastAsia="Calibri" w:hAnsi="Calibri"/>
          <w:color w:val="28251D"/>
          <w:sz w:val="22"/>
          <w:szCs w:val="22"/>
        </w:rPr>
        <w:t xml:space="preserve">Onafhankelijke toezichthouders krijgen mandaat voor onverwachte, incidentele controles. Sanctie-escalatie (waarschuwing → meerjarig verbod → permanente uitsluiting) wordt wettelijk verankerd, maar nog niet toegepast op zittende bestuurders met terugwerkende kracht.</w:t>
      </w:r>
    </w:p>
    <w:p>
      <w:pPr>
        <w:pStyle w:val="ListParagraph"/>
        <w:numPr>
          <w:ilvl w:val="0"/>
          <w:numId w:val="2"/>
        </w:numPr>
        <w:spacing w:after="40" w:before="40" w:line="300"/>
      </w:pPr>
      <w:r>
        <w:rPr>
          <w:rFonts w:ascii="Calibri" w:cs="Calibri" w:eastAsia="Calibri" w:hAnsi="Calibri"/>
          <w:color w:val="28251D"/>
          <w:sz w:val="22"/>
          <w:szCs w:val="22"/>
        </w:rPr>
        <w:t xml:space="preserve">Artikel 32 in werking: publieke omroep wordt beperkt tot niet-spanningsverhogende informatievoorziening; politiek debat verhuist naar particulier gefinancierde omroepen. Dit gebeurt vroeg, omdat de rest van de transitie een onafhankelijk medialandschap vereist.</w:t>
      </w:r>
    </w:p>
    <w:p>
      <w:pPr>
        <w:spacing w:after="120" w:before="80" w:line="320"/>
        <w:jc w:val="both"/>
      </w:pPr>
      <w:r>
        <w:rPr>
          <w:rFonts w:ascii="Calibri" w:cs="Calibri" w:eastAsia="Calibri" w:hAnsi="Calibri"/>
          <w:color w:val="28251D"/>
          <w:sz w:val="22"/>
          <w:szCs w:val="22"/>
        </w:rPr>
        <w:t xml:space="preserve">Uitwerking: burgers zien voor het eerst per kernveld of hun gemeente goed of slecht presteert. Dit creëert vraag van onderop naar de volgende fase — meten roept oordeel op.</w:t>
      </w:r>
    </w:p>
    <w:p>
      <w:pPr>
        <w:pStyle w:val="Heading2"/>
        <w:spacing w:after="140" w:before="300"/>
      </w:pPr>
      <w:r>
        <w:rPr>
          <w:rFonts w:ascii="Calibri" w:cs="Calibri" w:eastAsia="Calibri" w:hAnsi="Calibri"/>
          <w:b/>
          <w:bCs/>
          <w:color w:val="1B474D"/>
          <w:sz w:val="30"/>
          <w:szCs w:val="30"/>
        </w:rPr>
        <w:t xml:space="preserve">Fase 2 — Personeels- en beloningslaag (jaar 2–3)</w:t>
      </w:r>
    </w:p>
    <w:p>
      <w:pPr>
        <w:spacing w:after="120" w:before="80" w:line="320"/>
        <w:jc w:val="both"/>
      </w:pPr>
      <w:r>
        <w:rPr>
          <w:rFonts w:ascii="Calibri" w:cs="Calibri" w:eastAsia="Calibri" w:hAnsi="Calibri"/>
          <w:color w:val="28251D"/>
          <w:sz w:val="22"/>
          <w:szCs w:val="22"/>
        </w:rPr>
        <w:t xml:space="preserve">Doel: de overheid kan pas efficiënter worden als zij vrij is om kwaliteit in te kopen.</w:t>
      </w:r>
    </w:p>
    <w:p>
      <w:pPr>
        <w:pStyle w:val="ListParagraph"/>
        <w:numPr>
          <w:ilvl w:val="0"/>
          <w:numId w:val="2"/>
        </w:numPr>
        <w:spacing w:after="40" w:before="40" w:line="300"/>
      </w:pPr>
      <w:r>
        <w:rPr>
          <w:rFonts w:ascii="Calibri" w:cs="Calibri" w:eastAsia="Calibri" w:hAnsi="Calibri"/>
          <w:color w:val="28251D"/>
          <w:sz w:val="22"/>
          <w:szCs w:val="22"/>
        </w:rPr>
        <w:t xml:space="preserve">Afschaffing Balkenende-norm voor beleidspersoneel, gelijktijdig met invoering van het financieringsmodel: ambtenarenapparaat wordt volledig betaald uit de staatskas, met een uniform basisbedrag per inwoner per bestuurslaag. Dat ontkoppelt gemeentelijke kwaliteit van lokale belastingdruk.</w:t>
      </w:r>
    </w:p>
    <w:p>
      <w:pPr>
        <w:pStyle w:val="ListParagraph"/>
        <w:numPr>
          <w:ilvl w:val="0"/>
          <w:numId w:val="2"/>
        </w:numPr>
        <w:spacing w:after="40" w:before="40" w:line="300"/>
      </w:pPr>
      <w:r>
        <w:rPr>
          <w:rFonts w:ascii="Calibri" w:cs="Calibri" w:eastAsia="Calibri" w:hAnsi="Calibri"/>
          <w:color w:val="28251D"/>
          <w:sz w:val="22"/>
          <w:szCs w:val="22"/>
        </w:rPr>
        <w:t xml:space="preserve">Wachtgeld voor hogere bestuurslagen in landsdienst wordt afgebouwd van 80% naar 0% over drie jaar. Voor ambtenaren in andere lagen geldt de standaard zakelijke opzegtermijn.</w:t>
      </w:r>
    </w:p>
    <w:p>
      <w:pPr>
        <w:pStyle w:val="ListParagraph"/>
        <w:numPr>
          <w:ilvl w:val="0"/>
          <w:numId w:val="2"/>
        </w:numPr>
        <w:spacing w:after="40" w:before="40" w:line="300"/>
      </w:pPr>
      <w:r>
        <w:rPr>
          <w:rFonts w:ascii="Calibri" w:cs="Calibri" w:eastAsia="Calibri" w:hAnsi="Calibri"/>
          <w:color w:val="28251D"/>
          <w:sz w:val="22"/>
          <w:szCs w:val="22"/>
        </w:rPr>
        <w:t xml:space="preserve">Prestatiegekoppelde beloning wordt ingevoerd op basis van de KPI’s uit fase 1. Tot er minimaal één volledig meetjaar ligt, geen variabele uitbetaling — anders beloont het systeem ruis.</w:t>
      </w:r>
    </w:p>
    <w:p>
      <w:pPr>
        <w:pStyle w:val="ListParagraph"/>
        <w:numPr>
          <w:ilvl w:val="0"/>
          <w:numId w:val="2"/>
        </w:numPr>
        <w:spacing w:after="40" w:before="40" w:line="300"/>
      </w:pPr>
      <w:r>
        <w:rPr>
          <w:rFonts w:ascii="Calibri" w:cs="Calibri" w:eastAsia="Calibri" w:hAnsi="Calibri"/>
          <w:color w:val="28251D"/>
          <w:sz w:val="22"/>
          <w:szCs w:val="22"/>
        </w:rPr>
        <w:t xml:space="preserve">Eenhoofdig leiderschap via burgerberaadsgroepen wordt eerst op gemeentelijk niveau ingevoerd (kleinste risico), met scherp omschreven regels en mandaatgrenzen.</w:t>
      </w:r>
    </w:p>
    <w:p>
      <w:pPr>
        <w:spacing w:after="120" w:before="80" w:line="320"/>
        <w:jc w:val="both"/>
      </w:pPr>
      <w:r>
        <w:rPr>
          <w:rFonts w:ascii="Calibri" w:cs="Calibri" w:eastAsia="Calibri" w:hAnsi="Calibri"/>
          <w:color w:val="28251D"/>
          <w:sz w:val="22"/>
          <w:szCs w:val="22"/>
        </w:rPr>
        <w:t xml:space="preserve">Uitwerking: een efficiëntere overheid omdat topkwaliteit kan worden aangetrokken, wachtgeld geen baantjescarrousels meer voedt, en één eindverantwoordelijke per dossier de diffuse ambtenarenmacht doorbreekt.</w:t>
      </w:r>
    </w:p>
    <w:p>
      <w:pPr>
        <w:pStyle w:val="Heading2"/>
        <w:spacing w:after="140" w:before="300"/>
      </w:pPr>
      <w:r>
        <w:rPr>
          <w:rFonts w:ascii="Calibri" w:cs="Calibri" w:eastAsia="Calibri" w:hAnsi="Calibri"/>
          <w:b/>
          <w:bCs/>
          <w:color w:val="1B474D"/>
          <w:sz w:val="30"/>
          <w:szCs w:val="30"/>
        </w:rPr>
        <w:t xml:space="preserve">Fase 3 — Deliberatie- en stemlaag (jaar 3–4)</w:t>
      </w:r>
    </w:p>
    <w:p>
      <w:pPr>
        <w:spacing w:after="120" w:before="80" w:line="320"/>
        <w:jc w:val="both"/>
      </w:pPr>
      <w:r>
        <w:rPr>
          <w:rFonts w:ascii="Calibri" w:cs="Calibri" w:eastAsia="Calibri" w:hAnsi="Calibri"/>
          <w:color w:val="28251D"/>
          <w:sz w:val="22"/>
          <w:szCs w:val="22"/>
        </w:rPr>
        <w:t xml:space="preserve">Doel: burgers krijgen instrumenten die alleen zin hebben als er meetdata én eindverantwoordelijken bestaan.</w:t>
      </w:r>
    </w:p>
    <w:p>
      <w:pPr>
        <w:pStyle w:val="ListParagraph"/>
        <w:numPr>
          <w:ilvl w:val="0"/>
          <w:numId w:val="2"/>
        </w:numPr>
        <w:spacing w:after="40" w:before="40" w:line="300"/>
      </w:pPr>
      <w:r>
        <w:rPr>
          <w:rFonts w:ascii="Calibri" w:cs="Calibri" w:eastAsia="Calibri" w:hAnsi="Calibri"/>
          <w:color w:val="28251D"/>
          <w:sz w:val="22"/>
          <w:szCs w:val="22"/>
        </w:rPr>
        <w:t xml:space="preserve">Burgerberaadslaging door loting wordt structureel: per kernveld delibereren burgers, geïnformeerd door deskundigen.</w:t>
      </w:r>
    </w:p>
    <w:p>
      <w:pPr>
        <w:pStyle w:val="ListParagraph"/>
        <w:numPr>
          <w:ilvl w:val="0"/>
          <w:numId w:val="2"/>
        </w:numPr>
        <w:spacing w:after="40" w:before="40" w:line="300"/>
      </w:pPr>
      <w:r>
        <w:rPr>
          <w:rFonts w:ascii="Calibri" w:cs="Calibri" w:eastAsia="Calibri" w:hAnsi="Calibri"/>
          <w:color w:val="28251D"/>
          <w:sz w:val="22"/>
          <w:szCs w:val="22"/>
        </w:rPr>
        <w:t xml:space="preserve">Zero-base herformulering van vijfjaarsdoelen per kernveld, jaarlijks bijgesteld op actuele data.</w:t>
      </w:r>
    </w:p>
    <w:p>
      <w:pPr>
        <w:pStyle w:val="ListParagraph"/>
        <w:numPr>
          <w:ilvl w:val="0"/>
          <w:numId w:val="2"/>
        </w:numPr>
        <w:spacing w:after="40" w:before="40" w:line="300"/>
      </w:pPr>
      <w:r>
        <w:rPr>
          <w:rFonts w:ascii="Calibri" w:cs="Calibri" w:eastAsia="Calibri" w:hAnsi="Calibri"/>
          <w:color w:val="28251D"/>
          <w:sz w:val="22"/>
          <w:szCs w:val="22"/>
        </w:rPr>
        <w:t xml:space="preserve">Dubbele stemming (beleidsstem + prestatiestem) wordt eerst lokaal getest in twee à drie pilotgemeenten, daarna provinciaal, dan landelijk. Beide stemmen zijn bindend.</w:t>
      </w:r>
    </w:p>
    <w:p>
      <w:pPr>
        <w:pStyle w:val="ListParagraph"/>
        <w:numPr>
          <w:ilvl w:val="0"/>
          <w:numId w:val="2"/>
        </w:numPr>
        <w:spacing w:after="40" w:before="40" w:line="300"/>
      </w:pPr>
      <w:r>
        <w:rPr>
          <w:rFonts w:ascii="Calibri" w:cs="Calibri" w:eastAsia="Calibri" w:hAnsi="Calibri"/>
          <w:color w:val="28251D"/>
          <w:sz w:val="22"/>
          <w:szCs w:val="22"/>
        </w:rPr>
        <w:t xml:space="preserve">Mandaat en deselectie: bij &lt;20% doelrealisatie volgt deselectie van bestuurders. Pas activeren wanneer kernvelden hun waarderingscijfer hebben gekregen, anders is de drempel betekenisloos.</w:t>
      </w:r>
    </w:p>
    <w:p>
      <w:pPr>
        <w:spacing w:after="120" w:before="80" w:line="320"/>
        <w:jc w:val="both"/>
      </w:pPr>
      <w:r>
        <w:rPr>
          <w:rFonts w:ascii="Calibri" w:cs="Calibri" w:eastAsia="Calibri" w:hAnsi="Calibri"/>
          <w:color w:val="28251D"/>
          <w:sz w:val="22"/>
          <w:szCs w:val="22"/>
        </w:rPr>
        <w:t xml:space="preserve">Uitwerking: politiek wordt afgerekend op resultaat in plaats van beloften; coalitiewisselingen verstoren het beleid niet meer omdat het beleid niet langer aan een coalitie hangt.</w:t>
      </w:r>
    </w:p>
    <w:p>
      <w:pPr>
        <w:pStyle w:val="Heading2"/>
        <w:spacing w:after="140" w:before="300"/>
      </w:pPr>
      <w:r>
        <w:rPr>
          <w:rFonts w:ascii="Calibri" w:cs="Calibri" w:eastAsia="Calibri" w:hAnsi="Calibri"/>
          <w:b/>
          <w:bCs/>
          <w:color w:val="1B474D"/>
          <w:sz w:val="30"/>
          <w:szCs w:val="30"/>
        </w:rPr>
        <w:t xml:space="preserve">Fase 4 — Wetslaag met sunsetsysteem (jaar 4–6)</w:t>
      </w:r>
    </w:p>
    <w:p>
      <w:pPr>
        <w:spacing w:after="120" w:before="80" w:line="320"/>
        <w:jc w:val="both"/>
      </w:pPr>
      <w:r>
        <w:rPr>
          <w:rFonts w:ascii="Calibri" w:cs="Calibri" w:eastAsia="Calibri" w:hAnsi="Calibri"/>
          <w:color w:val="28251D"/>
          <w:sz w:val="22"/>
          <w:szCs w:val="22"/>
        </w:rPr>
        <w:t xml:space="preserve">Doel: het wettenbestand opschonen zonder rechtsonzekerheid.</w:t>
      </w:r>
    </w:p>
    <w:p>
      <w:pPr>
        <w:pStyle w:val="ListParagraph"/>
        <w:numPr>
          <w:ilvl w:val="0"/>
          <w:numId w:val="2"/>
        </w:numPr>
        <w:spacing w:after="40" w:before="40" w:line="300"/>
      </w:pPr>
      <w:r>
        <w:rPr>
          <w:rFonts w:ascii="Calibri" w:cs="Calibri" w:eastAsia="Calibri" w:hAnsi="Calibri"/>
          <w:color w:val="28251D"/>
          <w:sz w:val="22"/>
          <w:szCs w:val="22"/>
        </w:rPr>
        <w:t xml:space="preserve">Sunsetclausules treden gefaseerd in werking: gewone wetten 5 jaar, belangrijke wetten 10 jaar, grondwettelijke bepalingen 20 jaar.</w:t>
      </w:r>
    </w:p>
    <w:p>
      <w:pPr>
        <w:pStyle w:val="ListParagraph"/>
        <w:numPr>
          <w:ilvl w:val="0"/>
          <w:numId w:val="2"/>
        </w:numPr>
        <w:spacing w:after="40" w:before="40" w:line="300"/>
      </w:pPr>
      <w:r>
        <w:rPr>
          <w:rFonts w:ascii="Calibri" w:cs="Calibri" w:eastAsia="Calibri" w:hAnsi="Calibri"/>
          <w:color w:val="28251D"/>
          <w:sz w:val="22"/>
          <w:szCs w:val="22"/>
        </w:rPr>
        <w:t xml:space="preserve">Bestaande wetten krijgen een gespreid vervalrooster zodat niet alles tegelijk verloopt — Kamer en burgerraden zouden anders verzuipen in evaluaties.</w:t>
      </w:r>
    </w:p>
    <w:p>
      <w:pPr>
        <w:pStyle w:val="ListParagraph"/>
        <w:numPr>
          <w:ilvl w:val="0"/>
          <w:numId w:val="2"/>
        </w:numPr>
        <w:spacing w:after="40" w:before="40" w:line="300"/>
      </w:pPr>
      <w:r>
        <w:rPr>
          <w:rFonts w:ascii="Calibri" w:cs="Calibri" w:eastAsia="Calibri" w:hAnsi="Calibri"/>
          <w:color w:val="28251D"/>
          <w:sz w:val="22"/>
          <w:szCs w:val="22"/>
        </w:rPr>
        <w:t xml:space="preserve">Vernieuwing vereist burgerraad-evaluatie. Wetten die geen evaluatie halen vervallen automatisch.</w:t>
      </w:r>
    </w:p>
    <w:p>
      <w:pPr>
        <w:pStyle w:val="ListParagraph"/>
        <w:numPr>
          <w:ilvl w:val="0"/>
          <w:numId w:val="2"/>
        </w:numPr>
        <w:spacing w:after="40" w:before="40" w:line="300"/>
      </w:pPr>
      <w:r>
        <w:rPr>
          <w:rFonts w:ascii="Calibri" w:cs="Calibri" w:eastAsia="Calibri" w:hAnsi="Calibri"/>
          <w:color w:val="28251D"/>
          <w:sz w:val="22"/>
          <w:szCs w:val="22"/>
        </w:rPr>
        <w:t xml:space="preserve">Belangrijke uitzondering: EU-implementatiewetten zijn uitgezonderd van automatisch verval; alleen evaluatieplicht geldt. Mensenrechtelijke grondwetsbepalingen kennen verlenging-bij-default in plaats van vervallen-bij-default.</w:t>
      </w:r>
    </w:p>
    <w:p>
      <w:pPr>
        <w:spacing w:after="120" w:before="80" w:line="320"/>
        <w:jc w:val="both"/>
      </w:pPr>
      <w:r>
        <w:rPr>
          <w:rFonts w:ascii="Calibri" w:cs="Calibri" w:eastAsia="Calibri" w:hAnsi="Calibri"/>
          <w:color w:val="28251D"/>
          <w:sz w:val="22"/>
          <w:szCs w:val="22"/>
        </w:rPr>
        <w:t xml:space="preserve">Uitwerking: het systeem reinigt zichzelf. Dode of contraproductieve wetgeving verdwijnt zonder dat politieke moed achteraf nodig is.</w:t>
      </w:r>
    </w:p>
    <w:p>
      <w:pPr>
        <w:pStyle w:val="Heading2"/>
        <w:spacing w:after="140" w:before="300"/>
      </w:pPr>
      <w:r>
        <w:rPr>
          <w:rFonts w:ascii="Calibri" w:cs="Calibri" w:eastAsia="Calibri" w:hAnsi="Calibri"/>
          <w:b/>
          <w:bCs/>
          <w:color w:val="1B474D"/>
          <w:sz w:val="30"/>
          <w:szCs w:val="30"/>
        </w:rPr>
        <w:t xml:space="preserve">Fase 5 — Onderwijsfundament (parallel, jaar 1–10+)</w:t>
      </w:r>
    </w:p>
    <w:p>
      <w:pPr>
        <w:spacing w:after="120" w:before="80" w:line="320"/>
        <w:jc w:val="both"/>
      </w:pPr>
      <w:r>
        <w:rPr>
          <w:rFonts w:ascii="Calibri" w:cs="Calibri" w:eastAsia="Calibri" w:hAnsi="Calibri"/>
          <w:color w:val="28251D"/>
          <w:sz w:val="22"/>
          <w:szCs w:val="22"/>
        </w:rPr>
        <w:t xml:space="preserve">Onderwijs is bewust lang en parallel, omdat criminaliteitspreventie via opvoeding en onderwijs alleen op zeer jonge leeftijd werkt, en omdat financieringshervorming pas effect heeft na een hele schoolgeneratie.</w:t>
      </w:r>
    </w:p>
    <w:p>
      <w:pPr>
        <w:pStyle w:val="ListParagraph"/>
        <w:numPr>
          <w:ilvl w:val="0"/>
          <w:numId w:val="2"/>
        </w:numPr>
        <w:spacing w:after="40" w:before="40" w:line="300"/>
      </w:pPr>
      <w:r>
        <w:rPr>
          <w:rFonts w:ascii="Calibri" w:cs="Calibri" w:eastAsia="Calibri" w:hAnsi="Calibri"/>
          <w:color w:val="28251D"/>
          <w:sz w:val="22"/>
          <w:szCs w:val="22"/>
        </w:rPr>
        <w:t xml:space="preserve">Subfase 5a (jaar 1–2): centraal gereguleerde eindexamens worden het meetinstrument. Financiering kantelt van aantal afgestudeerden naar gemiddelde examenscores. Scholen worden van kwantiteitsfabrieken kwaliteitsinstituten.</w:t>
      </w:r>
    </w:p>
    <w:p>
      <w:pPr>
        <w:pStyle w:val="ListParagraph"/>
        <w:numPr>
          <w:ilvl w:val="0"/>
          <w:numId w:val="2"/>
        </w:numPr>
        <w:spacing w:after="40" w:before="40" w:line="300"/>
      </w:pPr>
      <w:r>
        <w:rPr>
          <w:rFonts w:ascii="Calibri" w:cs="Calibri" w:eastAsia="Calibri" w:hAnsi="Calibri"/>
          <w:color w:val="28251D"/>
          <w:sz w:val="22"/>
          <w:szCs w:val="22"/>
        </w:rPr>
        <w:t xml:space="preserve">Subfase 5b (jaar 2–4): strengere toelatingsexamens, terug naar selectie op gemotiveerde makers. Risico en ervaringsleren worden expliciet heringevoerd in curricula.</w:t>
      </w:r>
    </w:p>
    <w:p>
      <w:pPr>
        <w:pStyle w:val="ListParagraph"/>
        <w:numPr>
          <w:ilvl w:val="0"/>
          <w:numId w:val="2"/>
        </w:numPr>
        <w:spacing w:after="40" w:before="40" w:line="300"/>
      </w:pPr>
      <w:r>
        <w:rPr>
          <w:rFonts w:ascii="Calibri" w:cs="Calibri" w:eastAsia="Calibri" w:hAnsi="Calibri"/>
          <w:color w:val="28251D"/>
          <w:sz w:val="22"/>
          <w:szCs w:val="22"/>
        </w:rPr>
        <w:t xml:space="preserve">Subfase 5c (jaar 3–10): zwaartepunt verschuift naar zeer jonge leeftijd (voorschools en onderbouw) voor karaktervorming en criminaliteitspreventie.</w:t>
      </w:r>
    </w:p>
    <w:p>
      <w:pPr>
        <w:pStyle w:val="ListParagraph"/>
        <w:numPr>
          <w:ilvl w:val="0"/>
          <w:numId w:val="2"/>
        </w:numPr>
        <w:spacing w:after="40" w:before="40" w:line="300"/>
      </w:pPr>
      <w:r>
        <w:rPr>
          <w:rFonts w:ascii="Calibri" w:cs="Calibri" w:eastAsia="Calibri" w:hAnsi="Calibri"/>
          <w:color w:val="28251D"/>
          <w:sz w:val="22"/>
          <w:szCs w:val="22"/>
        </w:rPr>
        <w:t xml:space="preserve">Subfase 5d (jaar 5+): hoger onderwijs aligneert met de 24 VMP-kernvelden zodat arbeidsmarkt en bestuursmodel dezelfde taal spreken.</w:t>
      </w:r>
    </w:p>
    <w:p>
      <w:pPr>
        <w:spacing w:after="120" w:before="80" w:line="320"/>
        <w:jc w:val="both"/>
      </w:pPr>
      <w:r>
        <w:rPr>
          <w:rFonts w:ascii="Calibri" w:cs="Calibri" w:eastAsia="Calibri" w:hAnsi="Calibri"/>
          <w:color w:val="28251D"/>
          <w:sz w:val="22"/>
          <w:szCs w:val="22"/>
        </w:rPr>
        <w:t xml:space="preserve">Uitwerking: pas in deze fase ontstaat het type burger en ambtenaar dat een prestatiedemocratie kan dragen. Daarom mag onderwijs niet aan het eind staan — het moet vanaf jaar 1 lopen.</w:t>
      </w:r>
    </w:p>
    <w:p>
      <w:pPr>
        <w:pStyle w:val="Heading2"/>
        <w:spacing w:after="140" w:before="300"/>
      </w:pPr>
      <w:r>
        <w:rPr>
          <w:rFonts w:ascii="Calibri" w:cs="Calibri" w:eastAsia="Calibri" w:hAnsi="Calibri"/>
          <w:b/>
          <w:bCs/>
          <w:color w:val="1B474D"/>
          <w:sz w:val="30"/>
          <w:szCs w:val="30"/>
        </w:rPr>
        <w:t xml:space="preserve">Volgorde in één blik</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26"/>
      </w:tblGrid>
      <w:tr>
        <w:trPr>
          <w:tblHeader/>
        </w:trPr>
        <w:tc>
          <w:tcPr>
            <w:tcW w:type="dxa" w:w="16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Fase</w:t>
            </w:r>
          </w:p>
        </w:tc>
        <w:tc>
          <w:tcPr>
            <w:tcW w:type="dxa" w:w="32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Doel</w:t>
            </w:r>
          </w:p>
        </w:tc>
        <w:tc>
          <w:tcPr>
            <w:tcW w:type="dxa" w:w="42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Waarom op deze plek</w:t>
            </w:r>
          </w:p>
        </w:tc>
      </w:tr>
      <w:tr>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0. Voorbereiding</w:t>
            </w:r>
          </w:p>
        </w:tc>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Grondwet en nulmeting</w:t>
            </w:r>
          </w:p>
        </w:tc>
        <w:tc>
          <w:tcPr>
            <w:tcW w:type="dxa" w:w="42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Zonder baseline is alles willekeurig</w:t>
            </w:r>
          </w:p>
        </w:tc>
      </w:tr>
      <w:tr>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 Transparantie &amp; media</w:t>
            </w:r>
          </w:p>
        </w:tc>
        <w:tc>
          <w:tcPr>
            <w:tcW w:type="dxa" w:w="3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Dashboards, Artikel 32</w:t>
            </w:r>
          </w:p>
        </w:tc>
        <w:tc>
          <w:tcPr>
            <w:tcW w:type="dxa" w:w="42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Burgers moeten zien én onafhankelijk geïnformeerd worden</w:t>
            </w:r>
          </w:p>
        </w:tc>
      </w:tr>
      <w:tr>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 Beloning &amp; personeel</w:t>
            </w:r>
          </w:p>
        </w:tc>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Balkenende-norm, KPI-loon</w:t>
            </w:r>
          </w:p>
        </w:tc>
        <w:tc>
          <w:tcPr>
            <w:tcW w:type="dxa" w:w="42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Zonder kwaliteit geen prestaties om te meten</w:t>
            </w:r>
          </w:p>
        </w:tc>
      </w:tr>
      <w:tr>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 Deliberatie &amp; dubbele stem</w:t>
            </w:r>
          </w:p>
        </w:tc>
        <w:tc>
          <w:tcPr>
            <w:tcW w:type="dxa" w:w="3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Burgerberaden, twee stemmen</w:t>
            </w:r>
          </w:p>
        </w:tc>
        <w:tc>
          <w:tcPr>
            <w:tcW w:type="dxa" w:w="42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Heeft alleen zin met data én eindverantwoordelijken</w:t>
            </w:r>
          </w:p>
        </w:tc>
      </w:tr>
      <w:tr>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 Sunset op wetten</w:t>
            </w:r>
          </w:p>
        </w:tc>
        <w:tc>
          <w:tcPr>
            <w:tcW w:type="dxa" w:w="3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Automatisch verval, evaluatie</w:t>
            </w:r>
          </w:p>
        </w:tc>
        <w:tc>
          <w:tcPr>
            <w:tcW w:type="dxa" w:w="42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Pas activeren als evaluatiecapaciteit (burgerraden) bestaat</w:t>
            </w:r>
          </w:p>
        </w:tc>
      </w:tr>
      <w:tr>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 Onderwijs (parallel)</w:t>
            </w:r>
          </w:p>
        </w:tc>
        <w:tc>
          <w:tcPr>
            <w:tcW w:type="dxa" w:w="3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Prestatiebekostiging, vroege start</w:t>
            </w:r>
          </w:p>
        </w:tc>
        <w:tc>
          <w:tcPr>
            <w:tcW w:type="dxa" w:w="42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Lange doorlooptijd; werkt alleen op jonge leeftijd</w:t>
            </w:r>
          </w:p>
        </w:tc>
      </w:tr>
    </w:tbl>
    <w:p>
      <w:pPr>
        <w:pStyle w:val="Heading1"/>
        <w:pageBreakBefore/>
        <w:spacing w:after="200" w:before="360"/>
      </w:pPr>
      <w:r>
        <w:rPr>
          <w:rFonts w:ascii="Calibri" w:cs="Calibri" w:eastAsia="Calibri" w:hAnsi="Calibri"/>
          <w:b/>
          <w:bCs/>
          <w:color w:val="1B474D"/>
          <w:sz w:val="40"/>
          <w:szCs w:val="40"/>
        </w:rPr>
        <w:t xml:space="preserve">3. Gewogen Pareto-analyse van de tegenstand</w:t>
      </w:r>
    </w:p>
    <w:p>
      <w:pPr>
        <w:pStyle w:val="Heading2"/>
        <w:spacing w:after="140" w:before="300"/>
      </w:pPr>
      <w:r>
        <w:rPr>
          <w:rFonts w:ascii="Calibri" w:cs="Calibri" w:eastAsia="Calibri" w:hAnsi="Calibri"/>
          <w:b/>
          <w:bCs/>
          <w:color w:val="1B474D"/>
          <w:sz w:val="30"/>
          <w:szCs w:val="30"/>
        </w:rPr>
        <w:t xml:space="preserve">Waarom standaard-Pareto niet werkt</w:t>
      </w:r>
    </w:p>
    <w:p>
      <w:pPr>
        <w:spacing w:after="120" w:before="80" w:line="320"/>
        <w:jc w:val="both"/>
      </w:pPr>
      <w:r>
        <w:rPr>
          <w:rFonts w:ascii="Calibri" w:cs="Calibri" w:eastAsia="Calibri" w:hAnsi="Calibri"/>
          <w:color w:val="28251D"/>
          <w:sz w:val="22"/>
          <w:szCs w:val="22"/>
        </w:rPr>
        <w:t xml:space="preserve">De klassieke Pareto-analyse rangschikt oorzaken op frequentie. Voor een politieke transitie is frequentie zinloos. Wat telt is blokkademacht: het vermogen van een tegenstander om de transitie juridisch, electoraal of operationeel te stoppen. Daarom werken wij met drie wegingsfactoren per tegenstander.</w:t>
      </w:r>
    </w:p>
    <w:p>
      <w:pPr>
        <w:pBdr>
          <w:left w:val="single" w:color="20808D" w:sz="18" w:space="12"/>
        </w:pBdr>
        <w:spacing w:after="200" w:before="200" w:line="320"/>
        <w:ind w:left="720" w:right="720"/>
      </w:pPr>
      <w:r>
        <w:rPr>
          <w:rFonts w:ascii="Calibri" w:cs="Calibri" w:eastAsia="Calibri" w:hAnsi="Calibri"/>
          <w:i/>
          <w:iCs/>
          <w:color w:val="28251D"/>
          <w:sz w:val="22"/>
          <w:szCs w:val="22"/>
        </w:rPr>
        <w:t xml:space="preserve">Weerstandsscore = Intensiteit (I) × Machtshefboom (M) × Uithoudingsvermogen (U). Elke factor loopt van 1 tot 10. De score loopt dus van 1 tot 1000.</w:t>
      </w:r>
    </w:p>
    <w:p>
      <w:pPr>
        <w:pStyle w:val="ListParagraph"/>
        <w:numPr>
          <w:ilvl w:val="0"/>
          <w:numId w:val="2"/>
        </w:numPr>
        <w:spacing w:after="40" w:before="40" w:line="300"/>
      </w:pPr>
      <w:r>
        <w:rPr>
          <w:rFonts w:ascii="Calibri" w:cs="Calibri" w:eastAsia="Calibri" w:hAnsi="Calibri"/>
          <w:b/>
          <w:bCs/>
          <w:color w:val="28251D"/>
          <w:sz w:val="22"/>
          <w:szCs w:val="22"/>
        </w:rPr>
        <w:t xml:space="preserve">Intensiteit (I): </w:t>
      </w:r>
      <w:r>
        <w:rPr>
          <w:rFonts w:ascii="Calibri" w:cs="Calibri" w:eastAsia="Calibri" w:hAnsi="Calibri"/>
          <w:color w:val="28251D"/>
          <w:sz w:val="22"/>
          <w:szCs w:val="22"/>
        </w:rPr>
        <w:t xml:space="preserve">hoe hard verzet de groep zich? Existentieel verlies scoort 10, principieel ongemak 2.</w:t>
      </w:r>
    </w:p>
    <w:p>
      <w:pPr>
        <w:pStyle w:val="ListParagraph"/>
        <w:numPr>
          <w:ilvl w:val="0"/>
          <w:numId w:val="2"/>
        </w:numPr>
        <w:spacing w:after="40" w:before="40" w:line="300"/>
      </w:pPr>
      <w:r>
        <w:rPr>
          <w:rFonts w:ascii="Calibri" w:cs="Calibri" w:eastAsia="Calibri" w:hAnsi="Calibri"/>
          <w:b/>
          <w:bCs/>
          <w:color w:val="28251D"/>
          <w:sz w:val="22"/>
          <w:szCs w:val="22"/>
        </w:rPr>
        <w:t xml:space="preserve">Machtshefboom (M): </w:t>
      </w:r>
      <w:r>
        <w:rPr>
          <w:rFonts w:ascii="Calibri" w:cs="Calibri" w:eastAsia="Calibri" w:hAnsi="Calibri"/>
          <w:color w:val="28251D"/>
          <w:sz w:val="22"/>
          <w:szCs w:val="22"/>
        </w:rPr>
        <w:t xml:space="preserve">kan de groep de stap juridisch, electoraal of operationeel stoppen? Vetorecht is 10, alleen publieke kritiek is 2.</w:t>
      </w:r>
    </w:p>
    <w:p>
      <w:pPr>
        <w:pStyle w:val="ListParagraph"/>
        <w:numPr>
          <w:ilvl w:val="0"/>
          <w:numId w:val="2"/>
        </w:numPr>
        <w:spacing w:after="40" w:before="40" w:line="300"/>
      </w:pPr>
      <w:r>
        <w:rPr>
          <w:rFonts w:ascii="Calibri" w:cs="Calibri" w:eastAsia="Calibri" w:hAnsi="Calibri"/>
          <w:b/>
          <w:bCs/>
          <w:color w:val="28251D"/>
          <w:sz w:val="22"/>
          <w:szCs w:val="22"/>
        </w:rPr>
        <w:t xml:space="preserve">Uithoudingsvermogen (U): </w:t>
      </w:r>
      <w:r>
        <w:rPr>
          <w:rFonts w:ascii="Calibri" w:cs="Calibri" w:eastAsia="Calibri" w:hAnsi="Calibri"/>
          <w:color w:val="28251D"/>
          <w:sz w:val="22"/>
          <w:szCs w:val="22"/>
        </w:rPr>
        <w:t xml:space="preserve">hoe lang kan de groep blokkeren? Institutioneel verankerd is 10, eenmalige campagne 2.</w:t>
      </w:r>
    </w:p>
    <w:p>
      <w:pPr>
        <w:pStyle w:val="Heading2"/>
        <w:spacing w:after="140" w:before="300"/>
      </w:pPr>
      <w:r>
        <w:rPr>
          <w:rFonts w:ascii="Calibri" w:cs="Calibri" w:eastAsia="Calibri" w:hAnsi="Calibri"/>
          <w:b/>
          <w:bCs/>
          <w:color w:val="1B474D"/>
          <w:sz w:val="30"/>
          <w:szCs w:val="30"/>
        </w:rPr>
        <w:t xml:space="preserve">Top-12 tegenstandersgroepen, gesorteerd op blokkademacht</w:t>
      </w:r>
    </w:p>
    <w:p>
      <w:pPr>
        <w:spacing w:after="120" w:before="80" w:line="320"/>
        <w:jc w:val="both"/>
      </w:pPr>
      <w:r>
        <w:rPr>
          <w:rFonts w:ascii="Calibri" w:cs="Calibri" w:eastAsia="Calibri" w:hAnsi="Calibri"/>
          <w:color w:val="28251D"/>
          <w:sz w:val="22"/>
          <w:szCs w:val="22"/>
        </w:rPr>
        <w:t xml:space="preserve">Cumulatief sorteren toont waar de 80/20-lijn ligt: welke ~20% van de tegenstanders levert ~80% van de blokkademacht. Daar moet de strategische energie naartoe. De scores hieronder zijn beredeneerd vanuit de Nederlandse institutionele realiteit en bedoeld als startpunt voor kalibratie, niet als absolute waarheid.</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4200"/>
        <w:gridCol w:w="1200"/>
        <w:gridCol w:w="2826"/>
      </w:tblGrid>
      <w:tr>
        <w:trPr>
          <w:tblHeader/>
        </w:trPr>
        <w:tc>
          <w:tcPr>
            <w:tcW w:type="dxa" w:w="8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Rang</w:t>
            </w:r>
          </w:p>
        </w:tc>
        <w:tc>
          <w:tcPr>
            <w:tcW w:type="dxa" w:w="42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Tegenstander</w:t>
            </w:r>
          </w:p>
        </w:tc>
        <w:tc>
          <w:tcPr>
            <w:tcW w:type="dxa" w:w="12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Score</w:t>
            </w:r>
          </w:p>
        </w:tc>
        <w:tc>
          <w:tcPr>
            <w:tcW w:type="dxa" w:w="28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Cum. %</w:t>
            </w:r>
          </w:p>
        </w:tc>
      </w:tr>
      <w:tr>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EU-recht &amp; verdragen</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900</w:t>
            </w:r>
          </w:p>
        </w:tc>
        <w:tc>
          <w:tcPr>
            <w:tcW w:type="dxa" w:w="28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9%</w:t>
            </w:r>
          </w:p>
        </w:tc>
      </w:tr>
      <w:tr>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w:t>
            </w:r>
          </w:p>
        </w:tc>
        <w:tc>
          <w:tcPr>
            <w:tcW w:type="dxa" w:w="4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Politieke partijen — verlies agendamonopolie</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810</w:t>
            </w:r>
          </w:p>
        </w:tc>
        <w:tc>
          <w:tcPr>
            <w:tcW w:type="dxa" w:w="28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17%</w:t>
            </w:r>
          </w:p>
        </w:tc>
      </w:tr>
      <w:tr>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Onderwijsbonden</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810</w:t>
            </w:r>
          </w:p>
        </w:tc>
        <w:tc>
          <w:tcPr>
            <w:tcW w:type="dxa" w:w="28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25%</w:t>
            </w:r>
          </w:p>
        </w:tc>
      </w:tr>
      <w:tr>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w:t>
            </w:r>
          </w:p>
        </w:tc>
        <w:tc>
          <w:tcPr>
            <w:tcW w:type="dxa" w:w="4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Ambtenarenbonden</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800</w:t>
            </w:r>
          </w:p>
        </w:tc>
        <w:tc>
          <w:tcPr>
            <w:tcW w:type="dxa" w:w="28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33%</w:t>
            </w:r>
          </w:p>
        </w:tc>
      </w:tr>
      <w:tr>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Ambtelijke top — dashboard</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729</w:t>
            </w:r>
          </w:p>
        </w:tc>
        <w:tc>
          <w:tcPr>
            <w:tcW w:type="dxa" w:w="28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40%</w:t>
            </w:r>
          </w:p>
        </w:tc>
      </w:tr>
      <w:tr>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w:t>
            </w:r>
          </w:p>
        </w:tc>
        <w:tc>
          <w:tcPr>
            <w:tcW w:type="dxa" w:w="4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Zittende partijen — bestaansrecht</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648</w:t>
            </w:r>
          </w:p>
        </w:tc>
        <w:tc>
          <w:tcPr>
            <w:tcW w:type="dxa" w:w="28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47%</w:t>
            </w:r>
          </w:p>
        </w:tc>
      </w:tr>
      <w:tr>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Schoolbesturen</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648</w:t>
            </w:r>
          </w:p>
        </w:tc>
        <w:tc>
          <w:tcPr>
            <w:tcW w:type="dxa" w:w="28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53%</w:t>
            </w:r>
          </w:p>
        </w:tc>
      </w:tr>
      <w:tr>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w:t>
            </w:r>
          </w:p>
        </w:tc>
        <w:tc>
          <w:tcPr>
            <w:tcW w:type="dxa" w:w="4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NPO / journalistiek</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630</w:t>
            </w:r>
          </w:p>
        </w:tc>
        <w:tc>
          <w:tcPr>
            <w:tcW w:type="dxa" w:w="28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60%</w:t>
            </w:r>
          </w:p>
        </w:tc>
      </w:tr>
      <w:tr>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9</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Raad van State</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630</w:t>
            </w:r>
          </w:p>
        </w:tc>
        <w:tc>
          <w:tcPr>
            <w:tcW w:type="dxa" w:w="28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66%</w:t>
            </w:r>
          </w:p>
        </w:tc>
      </w:tr>
      <w:tr>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10</w:t>
            </w:r>
          </w:p>
        </w:tc>
        <w:tc>
          <w:tcPr>
            <w:tcW w:type="dxa" w:w="4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Juridische sector — sunset</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576</w:t>
            </w:r>
          </w:p>
        </w:tc>
        <w:tc>
          <w:tcPr>
            <w:tcW w:type="dxa" w:w="28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72%</w:t>
            </w:r>
          </w:p>
        </w:tc>
      </w:tr>
      <w:tr>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11</w:t>
            </w:r>
          </w:p>
        </w:tc>
        <w:tc>
          <w:tcPr>
            <w:tcW w:type="dxa" w:w="4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Eerste Kamer</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540</w:t>
            </w:r>
          </w:p>
        </w:tc>
        <w:tc>
          <w:tcPr>
            <w:tcW w:type="dxa" w:w="28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78%</w:t>
            </w:r>
          </w:p>
        </w:tc>
      </w:tr>
      <w:tr>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12</w:t>
            </w:r>
          </w:p>
        </w:tc>
        <w:tc>
          <w:tcPr>
            <w:tcW w:type="dxa" w:w="4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Lobbykoepels</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504</w:t>
            </w:r>
          </w:p>
        </w:tc>
        <w:tc>
          <w:tcPr>
            <w:tcW w:type="dxa" w:w="28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83%</w:t>
            </w:r>
          </w:p>
        </w:tc>
      </w:tr>
    </w:tbl>
    <w:p>
      <w:pPr>
        <w:spacing w:after="120" w:before="80" w:line="320"/>
        <w:jc w:val="both"/>
      </w:pPr>
      <w:r>
        <w:rPr>
          <w:rFonts w:ascii="Calibri" w:cs="Calibri" w:eastAsia="Calibri" w:hAnsi="Calibri"/>
          <w:color w:val="28251D"/>
          <w:sz w:val="22"/>
          <w:szCs w:val="22"/>
        </w:rPr>
        <w:t xml:space="preserve">De 80%-lijn ligt bij rang 11–12. Twaalf groepen leveren ongeveer 80% van de blokkademacht. Daar moet de strategie zich op richten; de overige groepen kunnen reactief worden behandeld.</w:t>
      </w:r>
    </w:p>
    <w:p>
      <w:pPr>
        <w:pStyle w:val="Heading2"/>
        <w:spacing w:after="140" w:before="300"/>
      </w:pPr>
      <w:r>
        <w:rPr>
          <w:rFonts w:ascii="Calibri" w:cs="Calibri" w:eastAsia="Calibri" w:hAnsi="Calibri"/>
          <w:b/>
          <w:bCs/>
          <w:color w:val="1B474D"/>
          <w:sz w:val="30"/>
          <w:szCs w:val="30"/>
        </w:rPr>
        <w:t xml:space="preserve">Wat de cijfers vertellen</w:t>
      </w:r>
    </w:p>
    <w:p>
      <w:pPr>
        <w:pStyle w:val="Heading3"/>
        <w:spacing w:after="100" w:before="240"/>
      </w:pPr>
      <w:r>
        <w:rPr>
          <w:rFonts w:ascii="Calibri" w:cs="Calibri" w:eastAsia="Calibri" w:hAnsi="Calibri"/>
          <w:b/>
          <w:bCs/>
          <w:color w:val="20808D"/>
          <w:sz w:val="24"/>
          <w:szCs w:val="24"/>
        </w:rPr>
        <w:t xml:space="preserve">1. Brussel is de grootste enkelvoudige tegenstander</w:t>
      </w:r>
    </w:p>
    <w:p>
      <w:pPr>
        <w:spacing w:after="120" w:before="80" w:line="320"/>
        <w:jc w:val="both"/>
      </w:pPr>
      <w:r>
        <w:rPr>
          <w:rFonts w:ascii="Calibri" w:cs="Calibri" w:eastAsia="Calibri" w:hAnsi="Calibri"/>
          <w:color w:val="28251D"/>
          <w:sz w:val="22"/>
          <w:szCs w:val="22"/>
        </w:rPr>
        <w:t xml:space="preserve">EU-recht (900) is geconcentreerd op één plek: fase 4. Eén ontwerpbesluit — EU-implementatiewetten uitsluiten van automatisch verval — haalt 900 punten uit de oppositiekolom. Brussel is een muur, en muren omzeil je met ontwerp.</w:t>
      </w:r>
    </w:p>
    <w:p>
      <w:pPr>
        <w:pStyle w:val="Heading3"/>
        <w:spacing w:after="100" w:before="240"/>
      </w:pPr>
      <w:r>
        <w:rPr>
          <w:rFonts w:ascii="Calibri" w:cs="Calibri" w:eastAsia="Calibri" w:hAnsi="Calibri"/>
          <w:b/>
          <w:bCs/>
          <w:color w:val="20808D"/>
          <w:sz w:val="24"/>
          <w:szCs w:val="24"/>
        </w:rPr>
        <w:t xml:space="preserve">2. De bonden vormen samen het zwaarste blok</w:t>
      </w:r>
    </w:p>
    <w:p>
      <w:pPr>
        <w:spacing w:after="120" w:before="80" w:line="320"/>
        <w:jc w:val="both"/>
      </w:pPr>
      <w:r>
        <w:rPr>
          <w:rFonts w:ascii="Calibri" w:cs="Calibri" w:eastAsia="Calibri" w:hAnsi="Calibri"/>
          <w:color w:val="28251D"/>
          <w:sz w:val="22"/>
          <w:szCs w:val="22"/>
        </w:rPr>
        <w:t xml:space="preserve">Onderwijsbonden (810) plus ambtenarenbonden (800) plus NPO-journalistiek (630) leveren samen 2.240 punten. Dat is bijna 2,5 keer Brussel. Maar belangrijker is het karakter: de bonden zijn drie aparte blokkades over fases 1, 2 en 5, met hoog uithoudingsvermogen. Geen kunstgreep lost dat op. Het vereist sequencing, CAO-timing en compensatie. Bonden zijn geen muur maar een moeras.</w:t>
      </w:r>
    </w:p>
    <w:p>
      <w:pPr>
        <w:spacing w:after="120" w:before="80" w:line="320"/>
        <w:jc w:val="both"/>
      </w:pPr>
      <w:r>
        <w:rPr>
          <w:rFonts w:ascii="Calibri" w:cs="Calibri" w:eastAsia="Calibri" w:hAnsi="Calibri"/>
          <w:color w:val="28251D"/>
          <w:sz w:val="22"/>
          <w:szCs w:val="22"/>
        </w:rPr>
        <w:t xml:space="preserve">De praktische implicatie: de bonden moeten niet in drie fases na elkaar geraakt worden, maar in één onderhandelde deal — een nationaal akkoord Modernisering Publieke Sector met drie pijlers tegelijk. Wortel per pijler vóór stok: hogere salarissen na afschaffing Balkenende-norm, examen-gerelateerde docentenbonus, overstapregeling voor NPO-journalisten naar particuliere omroepen met behoud van rechten.</w:t>
      </w:r>
    </w:p>
    <w:p>
      <w:pPr>
        <w:pStyle w:val="Heading3"/>
        <w:spacing w:after="100" w:before="240"/>
      </w:pPr>
      <w:r>
        <w:rPr>
          <w:rFonts w:ascii="Calibri" w:cs="Calibri" w:eastAsia="Calibri" w:hAnsi="Calibri"/>
          <w:b/>
          <w:bCs/>
          <w:color w:val="20808D"/>
          <w:sz w:val="24"/>
          <w:szCs w:val="24"/>
        </w:rPr>
        <w:t xml:space="preserve">3. De partijen scoren tweemaal hoog</w:t>
      </w:r>
    </w:p>
    <w:p>
      <w:pPr>
        <w:spacing w:after="120" w:before="80" w:line="320"/>
        <w:jc w:val="both"/>
      </w:pPr>
      <w:r>
        <w:rPr>
          <w:rFonts w:ascii="Calibri" w:cs="Calibri" w:eastAsia="Calibri" w:hAnsi="Calibri"/>
          <w:color w:val="28251D"/>
          <w:sz w:val="22"/>
          <w:szCs w:val="22"/>
        </w:rPr>
        <w:t xml:space="preserve">Zittende politieke partijen scoren in fase 0 én fase 3 (648 + 810 = 1458). Zij zijn de enige tegenstander die op twee plekken hoog scoort. Implicatie: zonder een eigen electoraal vehikel is de transitie kansloos. Geen enkele bestaande partij heeft de prikkel om dit te dragen — partijdemocratie wordt door Nova Democratia immers gerelativeerd tot een instrument, niet langer de grondslag.</w:t>
      </w:r>
    </w:p>
    <w:p>
      <w:pPr>
        <w:pStyle w:val="Heading3"/>
        <w:spacing w:after="100" w:before="240"/>
      </w:pPr>
      <w:r>
        <w:rPr>
          <w:rFonts w:ascii="Calibri" w:cs="Calibri" w:eastAsia="Calibri" w:hAnsi="Calibri"/>
          <w:b/>
          <w:bCs/>
          <w:color w:val="20808D"/>
          <w:sz w:val="24"/>
          <w:szCs w:val="24"/>
        </w:rPr>
        <w:t xml:space="preserve">4. Ambtelijke top vóór de bonden activeren</w:t>
      </w:r>
    </w:p>
    <w:p>
      <w:pPr>
        <w:spacing w:after="120" w:before="80" w:line="320"/>
        <w:jc w:val="both"/>
      </w:pPr>
      <w:r>
        <w:rPr>
          <w:rFonts w:ascii="Calibri" w:cs="Calibri" w:eastAsia="Calibri" w:hAnsi="Calibri"/>
          <w:color w:val="28251D"/>
          <w:sz w:val="22"/>
          <w:szCs w:val="22"/>
        </w:rPr>
        <w:t xml:space="preserve">Ambtelijke top (729) en ambtenarenbonden (800) zijn samen het grootste blok in fase 1–2 (1529). De volgorde is delicaat: eerst dashboard, dan beloningshervorming is risicovol omdat de ambtelijke top het dashboard ziet aankomen en zich vóór fase 2 organiseert. Overweging: parallel uitrollen, met afschaffing Balkenende-norm en hogere salarissen als wortel tegelijk met het dashboard als stok.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0808D" w:sz="6"/>
              <w:left w:val="single" w:color="20808D" w:sz="18"/>
              <w:bottom w:val="single" w:color="20808D" w:sz="6"/>
              <w:right w:val="single" w:color="20808D" w:sz="6"/>
            </w:tcBorders>
            <w:shd w:fill="E8F0F1" w:val="clear"/>
            <w:tcMar>
              <w:top w:type="dxa" w:w="200"/>
              <w:left w:type="dxa" w:w="240"/>
              <w:bottom w:type="dxa" w:w="200"/>
              <w:right w:type="dxa" w:w="240"/>
            </w:tcMar>
          </w:tcPr>
          <w:p>
            <w:pPr>
              <w:spacing w:after="100"/>
            </w:pPr>
            <w:r>
              <w:rPr>
                <w:rFonts w:ascii="Calibri" w:cs="Calibri" w:eastAsia="Calibri" w:hAnsi="Calibri"/>
                <w:b/>
                <w:bCs/>
                <w:color w:val="1B474D"/>
                <w:sz w:val="22"/>
                <w:szCs w:val="22"/>
              </w:rPr>
              <w:t xml:space="preserve">De kern in één zin</w:t>
            </w:r>
          </w:p>
          <w:p>
            <w:pPr>
              <w:spacing w:line="320"/>
            </w:pPr>
            <w:r>
              <w:rPr>
                <w:rFonts w:ascii="Calibri" w:cs="Calibri" w:eastAsia="Calibri" w:hAnsi="Calibri"/>
                <w:color w:val="28251D"/>
                <w:sz w:val="22"/>
                <w:szCs w:val="22"/>
              </w:rPr>
              <w:t xml:space="preserve">Brussel is je grootste enkelvoudige tegenstander; de bonden zijn je grootste samengestelde tegenstander. Brussel los je op met een wet. De bonden los je alleen op met timing en een gelijktijdige pakketdeal.</w:t>
            </w:r>
          </w:p>
        </w:tc>
      </w:tr>
    </w:tbl>
    <w:p>
      <w:pPr>
        <w:pStyle w:val="Heading1"/>
        <w:pageBreakBefore/>
        <w:spacing w:after="200" w:before="360"/>
      </w:pPr>
      <w:r>
        <w:rPr>
          <w:rFonts w:ascii="Calibri" w:cs="Calibri" w:eastAsia="Calibri" w:hAnsi="Calibri"/>
          <w:b/>
          <w:bCs/>
          <w:color w:val="1B474D"/>
          <w:sz w:val="40"/>
          <w:szCs w:val="40"/>
        </w:rPr>
        <w:t xml:space="preserve">4. Media als hefboom — zonder meting geen verbouwing</w:t>
      </w:r>
    </w:p>
    <w:p>
      <w:pPr>
        <w:pStyle w:val="Heading2"/>
        <w:spacing w:after="140" w:before="300"/>
      </w:pPr>
      <w:r>
        <w:rPr>
          <w:rFonts w:ascii="Calibri" w:cs="Calibri" w:eastAsia="Calibri" w:hAnsi="Calibri"/>
          <w:b/>
          <w:bCs/>
          <w:color w:val="1B474D"/>
          <w:sz w:val="30"/>
          <w:szCs w:val="30"/>
        </w:rPr>
        <w:t xml:space="preserve">De analogie met staalconstructie</w:t>
      </w:r>
    </w:p>
    <w:p>
      <w:pPr>
        <w:spacing w:after="120" w:before="80" w:line="320"/>
        <w:jc w:val="both"/>
      </w:pPr>
      <w:r>
        <w:rPr>
          <w:rFonts w:ascii="Calibri" w:cs="Calibri" w:eastAsia="Calibri" w:hAnsi="Calibri"/>
          <w:color w:val="28251D"/>
          <w:sz w:val="22"/>
          <w:szCs w:val="22"/>
        </w:rPr>
        <w:t xml:space="preserve">In de constructieleer kent men ordes van weerstand. Een eerste-orde belasting veroorzaakt elastische vervorming: de constructie veert terug zodra de belasting wegvalt. Een tweede-orde belasting veroorzaakt plastische vervorming: er blijft een blijvende afwijking, maar de constructie staat nog. Een derde-orde belasting nadert de bezwijkgrens: knik, breuk, instorting. In staal kies je een constructie zo, dat de werklast altijd ver onder de elastische grens blijft, met een veiligheidsfactor van 1,5 tot 2,0.</w:t>
      </w:r>
    </w:p>
    <w:p>
      <w:pPr>
        <w:spacing w:after="120" w:before="80" w:line="320"/>
        <w:jc w:val="both"/>
      </w:pPr>
      <w:r>
        <w:rPr>
          <w:rFonts w:ascii="Calibri" w:cs="Calibri" w:eastAsia="Calibri" w:hAnsi="Calibri"/>
          <w:color w:val="28251D"/>
          <w:sz w:val="22"/>
          <w:szCs w:val="22"/>
        </w:rPr>
        <w:t xml:space="preserve">De huidige Nederlandse democratie zit diep in tweede orde — permanente plastische vervorming door groeiende ambtenarij, dichtslibbende wetgeving, dalend vertrouwen — maar is nog niet bezweken. Een ruwe schatting van de veiligheidsfactor: ongeveer 1,1. Vrijwel geen marge. De vraag is dus niet óf de constructie verbouwd moet worden, maar of de verbouwing de marge vergroot of nét over de grens duwt. Dat is alleen te beoordelen met meting.</w:t>
      </w:r>
    </w:p>
    <w:p>
      <w:pPr>
        <w:pStyle w:val="Heading2"/>
        <w:spacing w:after="140" w:before="300"/>
      </w:pPr>
      <w:r>
        <w:rPr>
          <w:rFonts w:ascii="Calibri" w:cs="Calibri" w:eastAsia="Calibri" w:hAnsi="Calibri"/>
          <w:b/>
          <w:bCs/>
          <w:color w:val="1B474D"/>
          <w:sz w:val="30"/>
          <w:szCs w:val="30"/>
        </w:rPr>
        <w:t xml:space="preserve">Media is de strain gauge</w:t>
      </w:r>
    </w:p>
    <w:p>
      <w:pPr>
        <w:spacing w:after="120" w:before="80" w:line="320"/>
        <w:jc w:val="both"/>
      </w:pPr>
      <w:r>
        <w:rPr>
          <w:rFonts w:ascii="Calibri" w:cs="Calibri" w:eastAsia="Calibri" w:hAnsi="Calibri"/>
          <w:color w:val="28251D"/>
          <w:sz w:val="22"/>
          <w:szCs w:val="22"/>
        </w:rPr>
        <w:t xml:space="preserve">In je vorige berichten stelde je: zonder mediakracht gaat niets. In deze analogie wordt dat precies wat het is — media is de rekstrook. Een constructie zonder rekstroken meet je niet; je weet pas dat hij bezweken is als hij ligt. De huidige media meten uitsluitend eerste-orde gebeurtenissen — schandaal-amplitude, opiniepeiling-uitslag. Geen hysteresis, geen vermoeiing, geen knikreserve.</w:t>
      </w:r>
    </w:p>
    <w:p>
      <w:pPr>
        <w:spacing w:after="120" w:before="80" w:line="320"/>
        <w:jc w:val="both"/>
      </w:pPr>
      <w:r>
        <w:rPr>
          <w:rFonts w:ascii="Calibri" w:cs="Calibri" w:eastAsia="Calibri" w:hAnsi="Calibri"/>
          <w:color w:val="28251D"/>
          <w:sz w:val="22"/>
          <w:szCs w:val="22"/>
        </w:rPr>
        <w:t xml:space="preserve">Een Nova Democratia-media doet wat een ingenieur doet bij een brug: continu meten in plaats van incidenteel reageren, belastingsgeschiedenis bijhouden, en reservecapaciteit publiceren. Geen kritische journalistiek meer maar structureel toezicht op de drager.</w:t>
      </w:r>
    </w:p>
    <w:p>
      <w:pPr>
        <w:pStyle w:val="Heading2"/>
        <w:spacing w:after="140" w:before="300"/>
      </w:pPr>
      <w:r>
        <w:rPr>
          <w:rFonts w:ascii="Calibri" w:cs="Calibri" w:eastAsia="Calibri" w:hAnsi="Calibri"/>
          <w:b/>
          <w:bCs/>
          <w:color w:val="1B474D"/>
          <w:sz w:val="30"/>
          <w:szCs w:val="30"/>
        </w:rPr>
        <w:t xml:space="preserve">Drie indicatoren die het volk moet leren lezen</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Indicator</w:t>
            </w:r>
          </w:p>
        </w:tc>
        <w:tc>
          <w:tcPr>
            <w:tcW w:type="dxa" w:w="34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Staalkundig</w:t>
            </w:r>
          </w:p>
        </w:tc>
        <w:tc>
          <w:tcPr>
            <w:tcW w:type="dxa" w:w="34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Politiek waarneembaar als</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Hysteresis</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Energieverlies per belastingcyclus</w:t>
            </w:r>
          </w:p>
        </w:tc>
        <w:tc>
          <w:tcPr>
            <w:tcW w:type="dxa" w:w="34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Steeds duurder coalities vormen, steeds langere formaties</w:t>
            </w:r>
          </w:p>
        </w:tc>
      </w:tr>
      <w:tr>
        <w:tc>
          <w:tcPr>
            <w:tcW w:type="dxa" w:w="2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Vermoeiingsbreuk</w:t>
            </w:r>
          </w:p>
        </w:tc>
        <w:tc>
          <w:tcPr>
            <w:tcW w:type="dxa" w:w="34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Bezwijken onder herhaalde lage belasting</w:t>
            </w:r>
          </w:p>
        </w:tc>
        <w:tc>
          <w:tcPr>
            <w:tcW w:type="dxa" w:w="34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Vertrouwensverlies dat geen enkel incident verklaart</w:t>
            </w:r>
          </w:p>
        </w:tc>
      </w:tr>
      <w:tr>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Knikgrens</w:t>
            </w:r>
          </w:p>
        </w:tc>
        <w:tc>
          <w:tcPr>
            <w:tcW w:type="dxa" w:w="3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Plotseling falen ver onder de treksterkte</w:t>
            </w:r>
          </w:p>
        </w:tc>
        <w:tc>
          <w:tcPr>
            <w:tcW w:type="dxa" w:w="34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Legitimiteitscollaps zonder voorafgaande crisis</w:t>
            </w:r>
          </w:p>
        </w:tc>
      </w:tr>
    </w:tbl>
    <w:p>
      <w:pPr>
        <w:spacing w:after="120" w:before="80" w:line="320"/>
        <w:jc w:val="both"/>
      </w:pPr>
      <w:r>
        <w:rPr>
          <w:rFonts w:ascii="Calibri" w:cs="Calibri" w:eastAsia="Calibri" w:hAnsi="Calibri"/>
          <w:color w:val="28251D"/>
          <w:sz w:val="22"/>
          <w:szCs w:val="22"/>
        </w:rPr>
        <w:t xml:space="preserve">Een volk dat deze drie leest in het nieuws, oordeelt fundamenteel anders dan een volk dat alleen incidenten ziet. Het is precies waarom de mediahefboom géén communicatie-instrument is, maar een meetinstrument.</w:t>
      </w:r>
    </w:p>
    <w:p>
      <w:pPr>
        <w:pStyle w:val="Heading2"/>
        <w:spacing w:after="140" w:before="300"/>
      </w:pPr>
      <w:r>
        <w:rPr>
          <w:rFonts w:ascii="Calibri" w:cs="Calibri" w:eastAsia="Calibri" w:hAnsi="Calibri"/>
          <w:b/>
          <w:bCs/>
          <w:color w:val="1B474D"/>
          <w:sz w:val="30"/>
          <w:szCs w:val="30"/>
        </w:rPr>
        <w:t xml:space="preserve">Waarom media voorop staat — kwantitatief</w:t>
      </w:r>
    </w:p>
    <w:p>
      <w:pPr>
        <w:spacing w:after="120" w:before="80" w:line="320"/>
        <w:jc w:val="both"/>
      </w:pPr>
      <w:r>
        <w:rPr>
          <w:rFonts w:ascii="Calibri" w:cs="Calibri" w:eastAsia="Calibri" w:hAnsi="Calibri"/>
          <w:color w:val="28251D"/>
          <w:sz w:val="22"/>
          <w:szCs w:val="22"/>
        </w:rPr>
        <w:t xml:space="preserve">Pas dezelfde I × M × U-methode toe op transitiehefbomen (instrumenten, geen tegenstanders), met I als bereik, M als effect op de denkstructuur, en U als duurzaamheid van het effect:</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1200"/>
        <w:gridCol w:w="1200"/>
        <w:gridCol w:w="2200"/>
        <w:gridCol w:w="1400"/>
      </w:tblGrid>
      <w:tr>
        <w:trPr>
          <w:tblHeader/>
        </w:trPr>
        <w:tc>
          <w:tcPr>
            <w:tcW w:type="dxa" w:w="30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Hefboom</w:t>
            </w:r>
          </w:p>
        </w:tc>
        <w:tc>
          <w:tcPr>
            <w:tcW w:type="dxa" w:w="12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Bereik</w:t>
            </w:r>
          </w:p>
        </w:tc>
        <w:tc>
          <w:tcPr>
            <w:tcW w:type="dxa" w:w="12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Effect</w:t>
            </w:r>
          </w:p>
        </w:tc>
        <w:tc>
          <w:tcPr>
            <w:tcW w:type="dxa" w:w="22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Duurzaamheid</w:t>
            </w:r>
          </w:p>
        </w:tc>
        <w:tc>
          <w:tcPr>
            <w:tcW w:type="dxa" w:w="14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Score</w:t>
            </w:r>
          </w:p>
        </w:tc>
      </w:tr>
      <w:tr>
        <w:tc>
          <w:tcPr>
            <w:tcW w:type="dxa" w:w="30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Media (eigen, particulier)</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9</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9</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w:t>
            </w:r>
          </w:p>
        </w:tc>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648</w:t>
            </w:r>
          </w:p>
        </w:tc>
      </w:tr>
      <w:tr>
        <w:tc>
          <w:tcPr>
            <w:tcW w:type="dxa" w:w="30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Onderwijscurriculum</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9</w:t>
            </w:r>
          </w:p>
        </w:tc>
        <w:tc>
          <w:tcPr>
            <w:tcW w:type="dxa" w:w="2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10</w:t>
            </w:r>
          </w:p>
        </w:tc>
        <w:tc>
          <w:tcPr>
            <w:tcW w:type="dxa" w:w="14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630</w:t>
            </w:r>
          </w:p>
        </w:tc>
      </w:tr>
      <w:tr>
        <w:tc>
          <w:tcPr>
            <w:tcW w:type="dxa" w:w="30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Burgerberaden</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w:t>
            </w:r>
          </w:p>
        </w:tc>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210</w:t>
            </w:r>
          </w:p>
        </w:tc>
      </w:tr>
      <w:tr>
        <w:tc>
          <w:tcPr>
            <w:tcW w:type="dxa" w:w="30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Politieke campagne</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w:t>
            </w:r>
          </w:p>
        </w:tc>
        <w:tc>
          <w:tcPr>
            <w:tcW w:type="dxa" w:w="2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w:t>
            </w:r>
          </w:p>
        </w:tc>
        <w:tc>
          <w:tcPr>
            <w:tcW w:type="dxa" w:w="14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128</w:t>
            </w:r>
          </w:p>
        </w:tc>
      </w:tr>
      <w:tr>
        <w:tc>
          <w:tcPr>
            <w:tcW w:type="dxa" w:w="30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Wetgeving</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w:t>
            </w:r>
          </w:p>
        </w:tc>
        <w:tc>
          <w:tcPr>
            <w:tcW w:type="dxa" w:w="2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w:t>
            </w:r>
          </w:p>
        </w:tc>
        <w:tc>
          <w:tcPr>
            <w:tcW w:type="dxa" w:w="14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126</w:t>
            </w:r>
          </w:p>
        </w:tc>
      </w:tr>
    </w:tbl>
    <w:p>
      <w:pPr>
        <w:spacing w:after="120" w:before="80" w:line="320"/>
        <w:jc w:val="both"/>
      </w:pPr>
      <w:r>
        <w:rPr>
          <w:rFonts w:ascii="Calibri" w:cs="Calibri" w:eastAsia="Calibri" w:hAnsi="Calibri"/>
          <w:color w:val="28251D"/>
          <w:sz w:val="22"/>
          <w:szCs w:val="22"/>
        </w:rPr>
        <w:t xml:space="preserve">Media scoort hoger dan onderwijs op één cruciaal punt: snelheid. Onderwijs werkt op een schoolgeneratie (10+ jaar), media op een nieuwscyclus (10 dagen). Voor een transitie die binnen één politieke generatie moet beginnen, is media dus niet alleen de basis — het is de enige hefboom met voldoende score én voldoende snelheid.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0808D" w:sz="6"/>
              <w:left w:val="single" w:color="20808D" w:sz="18"/>
              <w:bottom w:val="single" w:color="20808D" w:sz="6"/>
              <w:right w:val="single" w:color="20808D" w:sz="6"/>
            </w:tcBorders>
            <w:shd w:fill="E8F0F1" w:val="clear"/>
            <w:tcMar>
              <w:top w:type="dxa" w:w="200"/>
              <w:left w:type="dxa" w:w="240"/>
              <w:bottom w:type="dxa" w:w="200"/>
              <w:right w:type="dxa" w:w="240"/>
            </w:tcMar>
          </w:tcPr>
          <w:p>
            <w:pPr>
              <w:spacing w:after="100"/>
            </w:pPr>
            <w:r>
              <w:rPr>
                <w:rFonts w:ascii="Calibri" w:cs="Calibri" w:eastAsia="Calibri" w:hAnsi="Calibri"/>
                <w:b/>
                <w:bCs/>
                <w:color w:val="1B474D"/>
                <w:sz w:val="22"/>
                <w:szCs w:val="22"/>
              </w:rPr>
              <w:t xml:space="preserve">Fase –1: cognitieve infrastructuur eerst</w:t>
            </w:r>
          </w:p>
          <w:p>
            <w:pPr>
              <w:spacing w:line="320"/>
            </w:pPr>
            <w:r>
              <w:rPr>
                <w:rFonts w:ascii="Calibri" w:cs="Calibri" w:eastAsia="Calibri" w:hAnsi="Calibri"/>
                <w:color w:val="28251D"/>
                <w:sz w:val="22"/>
                <w:szCs w:val="22"/>
              </w:rPr>
              <w:t xml:space="preserve">Vóór alle eerdere fases moet een Fase –1 lopen waarin het volk leert structurele indicatoren te lezen. Niet via educatie, maar via consistente herhaling in eigen media (openvizier, novademocratia en aanverwante particuliere kanalen). Pas wanneer ≥30% van de respondenten in publieke peilingen spontaan structurele termen gebruikt, begint Fase 0. Niet eerder.</w:t>
            </w:r>
          </w:p>
        </w:tc>
      </w:tr>
    </w:tbl>
    <w:p>
      <w:pPr>
        <w:pStyle w:val="Heading1"/>
        <w:pageBreakBefore/>
        <w:spacing w:after="200" w:before="360"/>
      </w:pPr>
      <w:r>
        <w:rPr>
          <w:rFonts w:ascii="Calibri" w:cs="Calibri" w:eastAsia="Calibri" w:hAnsi="Calibri"/>
          <w:b/>
          <w:bCs/>
          <w:color w:val="1B474D"/>
          <w:sz w:val="40"/>
          <w:szCs w:val="40"/>
        </w:rPr>
        <w:t xml:space="preserve">5. Ordes van sterkte — een publieke classificatiestandaard</w:t>
      </w:r>
    </w:p>
    <w:p>
      <w:pPr>
        <w:pStyle w:val="Heading2"/>
        <w:spacing w:after="140" w:before="300"/>
      </w:pPr>
      <w:r>
        <w:rPr>
          <w:rFonts w:ascii="Calibri" w:cs="Calibri" w:eastAsia="Calibri" w:hAnsi="Calibri"/>
          <w:b/>
          <w:bCs/>
          <w:color w:val="1B474D"/>
          <w:sz w:val="30"/>
          <w:szCs w:val="30"/>
        </w:rPr>
        <w:t xml:space="preserve">Het principe</w:t>
      </w:r>
    </w:p>
    <w:p>
      <w:pPr>
        <w:spacing w:after="120" w:before="80" w:line="320"/>
        <w:jc w:val="both"/>
      </w:pPr>
      <w:r>
        <w:rPr>
          <w:rFonts w:ascii="Calibri" w:cs="Calibri" w:eastAsia="Calibri" w:hAnsi="Calibri"/>
          <w:color w:val="28251D"/>
          <w:sz w:val="22"/>
          <w:szCs w:val="22"/>
        </w:rPr>
        <w:t xml:space="preserve">Een ingenieur weegt niet elke belasting gelijk. Een windvlaag (eerste orde, elastisch, voorbijgaand) krijgt geen herontwerp. Een permanente eigenlast (tweede orde, plastisch, blijvend) wel. Een knikbelasting (derde orde, naderend bezwijken) overheerst alles. Dezelfde logica moet publiek worden toegepast op politieke tegenwerpingen. Niet om kritiek te negeren, maar om kritiek te sorteren voordat zij wordt behandeld.</w:t>
      </w:r>
    </w:p>
    <w:p>
      <w:pPr>
        <w:spacing w:after="120" w:before="80" w:line="320"/>
        <w:jc w:val="both"/>
      </w:pPr>
      <w:r>
        <w:rPr>
          <w:rFonts w:ascii="Calibri" w:cs="Calibri" w:eastAsia="Calibri" w:hAnsi="Calibri"/>
          <w:color w:val="28251D"/>
          <w:sz w:val="22"/>
          <w:szCs w:val="22"/>
        </w:rPr>
        <w:t xml:space="preserve">De truc is dat de classificatie zelf publiek gebeurt. Niet "wij vinden dat een zwak argument", maar: "dit is een eerste-orde bezwaar, vergelijkbaar met klagen over windvlagen tijdens het ontwerp van een brug. We noteren het. Het verandert de constructie niet." Daarmee dwing je tegenstanders om hun argument naar een hogere orde te tillen (wat moeilijk is), of publiekelijk te accepteren dat ze in de eerste orde zitten (wat hun blokkademacht uitholt).</w:t>
      </w:r>
    </w:p>
    <w:p>
      <w:pPr>
        <w:pStyle w:val="Heading2"/>
        <w:spacing w:after="140" w:before="300"/>
      </w:pPr>
      <w:r>
        <w:rPr>
          <w:rFonts w:ascii="Calibri" w:cs="Calibri" w:eastAsia="Calibri" w:hAnsi="Calibri"/>
          <w:b/>
          <w:bCs/>
          <w:color w:val="1B474D"/>
          <w:sz w:val="30"/>
          <w:szCs w:val="30"/>
        </w:rPr>
        <w:t xml:space="preserve">De vier ordes</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700"/>
        <w:gridCol w:w="2926"/>
      </w:tblGrid>
      <w:tr>
        <w:trPr>
          <w:tblHeader/>
        </w:trPr>
        <w:tc>
          <w:tcPr>
            <w:tcW w:type="dxa" w:w="9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Orde</w:t>
            </w:r>
          </w:p>
        </w:tc>
        <w:tc>
          <w:tcPr>
            <w:tcW w:type="dxa" w:w="25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Aard</w:t>
            </w:r>
          </w:p>
        </w:tc>
        <w:tc>
          <w:tcPr>
            <w:tcW w:type="dxa" w:w="27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Constructie-analogie</w:t>
            </w:r>
          </w:p>
        </w:tc>
        <w:tc>
          <w:tcPr>
            <w:tcW w:type="dxa" w:w="29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Behandeling</w:t>
            </w:r>
          </w:p>
        </w:tc>
      </w:tr>
      <w:tr>
        <w:tc>
          <w:tcPr>
            <w:tcW w:type="dxa" w:w="9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1e orde</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Belang, emotie, incident, symptoom</w:t>
            </w:r>
          </w:p>
        </w:tc>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Elastische respons — verdwijnt na belasting</w:t>
            </w:r>
          </w:p>
        </w:tc>
        <w:tc>
          <w:tcPr>
            <w:tcW w:type="dxa" w:w="29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Erkennen, classificeren, niet inhoudelijk weerleggen</w:t>
            </w:r>
          </w:p>
        </w:tc>
      </w:tr>
      <w:tr>
        <w:tc>
          <w:tcPr>
            <w:tcW w:type="dxa" w:w="9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2e orde</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Institutioneel, procedureel, vakgebonden</w:t>
            </w:r>
          </w:p>
        </w:tc>
        <w:tc>
          <w:tcPr>
            <w:tcW w:type="dxa" w:w="27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Plastische respons — blijvend, beheersbaar</w:t>
            </w:r>
          </w:p>
        </w:tc>
        <w:tc>
          <w:tcPr>
            <w:tcW w:type="dxa" w:w="29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Onderhandelen, compenseren, in pakket meenemen</w:t>
            </w:r>
          </w:p>
        </w:tc>
      </w:tr>
      <w:tr>
        <w:tc>
          <w:tcPr>
            <w:tcW w:type="dxa" w:w="9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 orde</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Constructief, ontwerpkritiek, structureel</w:t>
            </w:r>
          </w:p>
        </w:tc>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Naderende bezwijkgrens — ontwerpaanpassing nodig</w:t>
            </w:r>
          </w:p>
        </w:tc>
        <w:tc>
          <w:tcPr>
            <w:tcW w:type="dxa" w:w="29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Inhoudelijk wegen, ontwerp aanpassen waar terecht</w:t>
            </w:r>
          </w:p>
        </w:tc>
      </w:tr>
      <w:tr>
        <w:tc>
          <w:tcPr>
            <w:tcW w:type="dxa" w:w="9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4e orde</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Grondslag — democratie, soevereiniteit, mensenrechten</w:t>
            </w:r>
          </w:p>
        </w:tc>
        <w:tc>
          <w:tcPr>
            <w:tcW w:type="dxa" w:w="27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De grondvesten waarop de constructie staat</w:t>
            </w:r>
          </w:p>
        </w:tc>
        <w:tc>
          <w:tcPr>
            <w:tcW w:type="dxa" w:w="29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Legitimiteitstoets, geen onderhandeling</w:t>
            </w:r>
          </w:p>
        </w:tc>
      </w:tr>
    </w:tbl>
    <w:p>
      <w:pPr>
        <w:pStyle w:val="Heading2"/>
        <w:spacing w:after="140" w:before="300"/>
      </w:pPr>
      <w:r>
        <w:rPr>
          <w:rFonts w:ascii="Calibri" w:cs="Calibri" w:eastAsia="Calibri" w:hAnsi="Calibri"/>
          <w:b/>
          <w:bCs/>
          <w:color w:val="1B474D"/>
          <w:sz w:val="30"/>
          <w:szCs w:val="30"/>
        </w:rPr>
        <w:t xml:space="preserve">De beslisboom — hoe classificeer je in vier stappen</w:t>
      </w:r>
    </w:p>
    <w:p>
      <w:pPr>
        <w:pStyle w:val="ListParagraph"/>
        <w:numPr>
          <w:ilvl w:val="0"/>
          <w:numId w:val="3"/>
        </w:numPr>
        <w:spacing w:after="60" w:before="60" w:line="300"/>
      </w:pPr>
      <w:r>
        <w:rPr>
          <w:rFonts w:ascii="Calibri" w:cs="Calibri" w:eastAsia="Calibri" w:hAnsi="Calibri"/>
          <w:color w:val="28251D"/>
          <w:sz w:val="22"/>
          <w:szCs w:val="22"/>
        </w:rPr>
        <w:t xml:space="preserve">Verdedigt het bezwaar een persoonlijk, organisatorisch of branche-belang van de indiener? Ja → 1e orde. Nee → ga door.</w:t>
      </w:r>
    </w:p>
    <w:p>
      <w:pPr>
        <w:pStyle w:val="ListParagraph"/>
        <w:numPr>
          <w:ilvl w:val="0"/>
          <w:numId w:val="3"/>
        </w:numPr>
        <w:spacing w:after="60" w:before="60" w:line="300"/>
      </w:pPr>
      <w:r>
        <w:rPr>
          <w:rFonts w:ascii="Calibri" w:cs="Calibri" w:eastAsia="Calibri" w:hAnsi="Calibri"/>
          <w:color w:val="28251D"/>
          <w:sz w:val="22"/>
          <w:szCs w:val="22"/>
        </w:rPr>
        <w:t xml:space="preserve">Is het bezwaar gebonden aan een specifiek instituut, procedure of vakgebied dat door de hervorming wordt geraakt? Ja → 2e orde. Nee → ga door.</w:t>
      </w:r>
    </w:p>
    <w:p>
      <w:pPr>
        <w:pStyle w:val="ListParagraph"/>
        <w:numPr>
          <w:ilvl w:val="0"/>
          <w:numId w:val="3"/>
        </w:numPr>
        <w:spacing w:after="60" w:before="60" w:line="300"/>
      </w:pPr>
      <w:r>
        <w:rPr>
          <w:rFonts w:ascii="Calibri" w:cs="Calibri" w:eastAsia="Calibri" w:hAnsi="Calibri"/>
          <w:color w:val="28251D"/>
          <w:sz w:val="22"/>
          <w:szCs w:val="22"/>
        </w:rPr>
        <w:t xml:space="preserve">Identificeert het bezwaar een ontwerpfout die ook bij andere indieners op dezelfde manier zou opduiken? Ja → 3e orde. Nee → ga door.</w:t>
      </w:r>
    </w:p>
    <w:p>
      <w:pPr>
        <w:pStyle w:val="ListParagraph"/>
        <w:numPr>
          <w:ilvl w:val="0"/>
          <w:numId w:val="3"/>
        </w:numPr>
        <w:spacing w:after="60" w:before="60" w:line="300"/>
      </w:pPr>
      <w:r>
        <w:rPr>
          <w:rFonts w:ascii="Calibri" w:cs="Calibri" w:eastAsia="Calibri" w:hAnsi="Calibri"/>
          <w:color w:val="28251D"/>
          <w:sz w:val="22"/>
          <w:szCs w:val="22"/>
        </w:rPr>
        <w:t xml:space="preserve">Raakt het bezwaar de grondslagen waarop elke democratie rust (volkssoevereiniteit, mensenrechten, rechtsstaat)? Ja → 4e orde. Nee → bezwaar is onvoldoende geformuleerd; terug naar stap 1.</w:t>
      </w:r>
    </w:p>
    <w:p>
      <w:pPr>
        <w:pStyle w:val="Heading2"/>
        <w:spacing w:after="140" w:before="300"/>
      </w:pPr>
      <w:r>
        <w:rPr>
          <w:rFonts w:ascii="Calibri" w:cs="Calibri" w:eastAsia="Calibri" w:hAnsi="Calibri"/>
          <w:b/>
          <w:bCs/>
          <w:color w:val="1B474D"/>
          <w:sz w:val="30"/>
          <w:szCs w:val="30"/>
        </w:rPr>
        <w:t xml:space="preserve">Onderscheidende vragen voor grensgevallen</w:t>
      </w:r>
    </w:p>
    <w:p>
      <w:pPr>
        <w:pStyle w:val="ListParagraph"/>
        <w:numPr>
          <w:ilvl w:val="0"/>
          <w:numId w:val="2"/>
        </w:numPr>
        <w:spacing w:after="40" w:before="40" w:line="300"/>
      </w:pPr>
      <w:r>
        <w:rPr>
          <w:rFonts w:ascii="Calibri" w:cs="Calibri" w:eastAsia="Calibri" w:hAnsi="Calibri"/>
          <w:b/>
          <w:bCs/>
          <w:color w:val="28251D"/>
          <w:sz w:val="22"/>
          <w:szCs w:val="22"/>
        </w:rPr>
        <w:t xml:space="preserve">1e versus 2e orde — </w:t>
      </w:r>
      <w:r>
        <w:rPr>
          <w:rFonts w:ascii="Calibri" w:cs="Calibri" w:eastAsia="Calibri" w:hAnsi="Calibri"/>
          <w:color w:val="28251D"/>
          <w:sz w:val="22"/>
          <w:szCs w:val="22"/>
        </w:rPr>
        <w:t xml:space="preserve">zou deze indiener hetzelfde bezwaar uiten als hij niet zélf in deze positie zat? Nee → 1e. Ja → 2e.</w:t>
      </w:r>
    </w:p>
    <w:p>
      <w:pPr>
        <w:pStyle w:val="ListParagraph"/>
        <w:numPr>
          <w:ilvl w:val="0"/>
          <w:numId w:val="2"/>
        </w:numPr>
        <w:spacing w:after="40" w:before="40" w:line="300"/>
      </w:pPr>
      <w:r>
        <w:rPr>
          <w:rFonts w:ascii="Calibri" w:cs="Calibri" w:eastAsia="Calibri" w:hAnsi="Calibri"/>
          <w:b/>
          <w:bCs/>
          <w:color w:val="28251D"/>
          <w:sz w:val="22"/>
          <w:szCs w:val="22"/>
        </w:rPr>
        <w:t xml:space="preserve">2e versus 3e orde — </w:t>
      </w:r>
      <w:r>
        <w:rPr>
          <w:rFonts w:ascii="Calibri" w:cs="Calibri" w:eastAsia="Calibri" w:hAnsi="Calibri"/>
          <w:color w:val="28251D"/>
          <w:sz w:val="22"/>
          <w:szCs w:val="22"/>
        </w:rPr>
        <w:t xml:space="preserve">geldt dit bezwaar alleen voor de eigen institutionele positie van de indiener, of zou een neutrale ingenieur het ook noemen? Alleen eigen → 2e. Ook neutraal → 3e.</w:t>
      </w:r>
    </w:p>
    <w:p>
      <w:pPr>
        <w:pStyle w:val="ListParagraph"/>
        <w:numPr>
          <w:ilvl w:val="0"/>
          <w:numId w:val="2"/>
        </w:numPr>
        <w:spacing w:after="40" w:before="40" w:line="300"/>
      </w:pPr>
      <w:r>
        <w:rPr>
          <w:rFonts w:ascii="Calibri" w:cs="Calibri" w:eastAsia="Calibri" w:hAnsi="Calibri"/>
          <w:b/>
          <w:bCs/>
          <w:color w:val="28251D"/>
          <w:sz w:val="22"/>
          <w:szCs w:val="22"/>
        </w:rPr>
        <w:t xml:space="preserve">3e versus 4e orde — </w:t>
      </w:r>
      <w:r>
        <w:rPr>
          <w:rFonts w:ascii="Calibri" w:cs="Calibri" w:eastAsia="Calibri" w:hAnsi="Calibri"/>
          <w:color w:val="28251D"/>
          <w:sz w:val="22"/>
          <w:szCs w:val="22"/>
        </w:rPr>
        <w:t xml:space="preserve">gaat het bezwaar over hoe de constructie is ontworpen, of over of er überhaupt een constructie mag zijn? Hoe → 3e. Of → 4e.</w:t>
      </w:r>
    </w:p>
    <w:p>
      <w:pPr>
        <w:pStyle w:val="Heading2"/>
        <w:spacing w:after="140" w:before="300"/>
      </w:pPr>
      <w:r>
        <w:rPr>
          <w:rFonts w:ascii="Calibri" w:cs="Calibri" w:eastAsia="Calibri" w:hAnsi="Calibri"/>
          <w:b/>
          <w:bCs/>
          <w:color w:val="1B474D"/>
          <w:sz w:val="30"/>
          <w:szCs w:val="30"/>
        </w:rPr>
        <w:t xml:space="preserve">Het publicatieformat</w:t>
      </w:r>
    </w:p>
    <w:p>
      <w:pPr>
        <w:spacing w:after="120" w:before="80" w:line="320"/>
        <w:jc w:val="both"/>
      </w:pPr>
      <w:r>
        <w:rPr>
          <w:rFonts w:ascii="Calibri" w:cs="Calibri" w:eastAsia="Calibri" w:hAnsi="Calibri"/>
          <w:color w:val="28251D"/>
          <w:sz w:val="22"/>
          <w:szCs w:val="22"/>
        </w:rPr>
        <w:t xml:space="preserve">Elk gepubliceerd commentaarstuk dat een bezwaar adresseert, volgt deze structuur: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0808D" w:sz="6"/>
              <w:left w:val="single" w:color="20808D" w:sz="18"/>
              <w:bottom w:val="single" w:color="20808D" w:sz="6"/>
              <w:right w:val="single" w:color="20808D" w:sz="6"/>
            </w:tcBorders>
            <w:shd w:fill="E8F0F1" w:val="clear"/>
            <w:tcMar>
              <w:top w:type="dxa" w:w="200"/>
              <w:left w:type="dxa" w:w="240"/>
              <w:bottom w:type="dxa" w:w="200"/>
              <w:right w:type="dxa" w:w="240"/>
            </w:tcMar>
          </w:tcPr>
          <w:p>
            <w:pPr>
              <w:spacing w:after="100"/>
            </w:pPr>
            <w:r>
              <w:rPr>
                <w:rFonts w:ascii="Calibri" w:cs="Calibri" w:eastAsia="Calibri" w:hAnsi="Calibri"/>
                <w:b/>
                <w:bCs/>
                <w:color w:val="1B474D"/>
                <w:sz w:val="22"/>
                <w:szCs w:val="22"/>
              </w:rPr>
              <w:t xml:space="preserve">Standaardformat bezwaarregister</w:t>
            </w:r>
          </w:p>
          <w:p>
            <w:pPr>
              <w:spacing w:line="320"/>
            </w:pPr>
            <w:r>
              <w:rPr>
                <w:rFonts w:ascii="Calibri" w:cs="Calibri" w:eastAsia="Calibri" w:hAnsi="Calibri"/>
                <w:color w:val="28251D"/>
                <w:sz w:val="22"/>
                <w:szCs w:val="22"/>
              </w:rPr>
              <w:t xml:space="preserve">Bezwaar [nummer] · Indiener · Datum · Orde [1/2/3/4] · Motivering classificatie · Behandeling (erkennen / onderhandelen / verwerken / toetsen) · Status (open / in pakket / verwerkt / afgewezen / aangenomen).</w:t>
            </w:r>
          </w:p>
        </w:tc>
      </w:tr>
    </w:tbl>
    <w:p>
      <w:pPr>
        <w:pStyle w:val="Heading2"/>
        <w:spacing w:after="140" w:before="300"/>
      </w:pPr>
      <w:r>
        <w:rPr>
          <w:rFonts w:ascii="Calibri" w:cs="Calibri" w:eastAsia="Calibri" w:hAnsi="Calibri"/>
          <w:b/>
          <w:bCs/>
          <w:color w:val="1B474D"/>
          <w:sz w:val="30"/>
          <w:szCs w:val="30"/>
        </w:rPr>
        <w:t xml:space="preserve">Wat het protocol niet is</w:t>
      </w:r>
    </w:p>
    <w:p>
      <w:pPr>
        <w:pStyle w:val="ListParagraph"/>
        <w:numPr>
          <w:ilvl w:val="0"/>
          <w:numId w:val="2"/>
        </w:numPr>
        <w:spacing w:after="40" w:before="40" w:line="300"/>
      </w:pPr>
      <w:r>
        <w:rPr>
          <w:rFonts w:ascii="Calibri" w:cs="Calibri" w:eastAsia="Calibri" w:hAnsi="Calibri"/>
          <w:color w:val="28251D"/>
          <w:sz w:val="22"/>
          <w:szCs w:val="22"/>
        </w:rPr>
        <w:t xml:space="preserve">Geen propagandasysteem. Brussel, Raad van State en de juridische sector worden expliciet als 3e orde behandeld, met inhoudelijke gevolgen voor het ontwerp.</w:t>
      </w:r>
    </w:p>
    <w:p>
      <w:pPr>
        <w:pStyle w:val="ListParagraph"/>
        <w:numPr>
          <w:ilvl w:val="0"/>
          <w:numId w:val="2"/>
        </w:numPr>
        <w:spacing w:after="40" w:before="40" w:line="300"/>
      </w:pPr>
      <w:r>
        <w:rPr>
          <w:rFonts w:ascii="Calibri" w:cs="Calibri" w:eastAsia="Calibri" w:hAnsi="Calibri"/>
          <w:color w:val="28251D"/>
          <w:sz w:val="22"/>
          <w:szCs w:val="22"/>
        </w:rPr>
        <w:t xml:space="preserve">Geen middel om kritiek te negeren. Elk bezwaar wordt geregistreerd en gemotiveerd geclassificeerd.</w:t>
      </w:r>
    </w:p>
    <w:p>
      <w:pPr>
        <w:pStyle w:val="ListParagraph"/>
        <w:numPr>
          <w:ilvl w:val="0"/>
          <w:numId w:val="2"/>
        </w:numPr>
        <w:spacing w:after="40" w:before="40" w:line="300"/>
      </w:pPr>
      <w:r>
        <w:rPr>
          <w:rFonts w:ascii="Calibri" w:cs="Calibri" w:eastAsia="Calibri" w:hAnsi="Calibri"/>
          <w:color w:val="28251D"/>
          <w:sz w:val="22"/>
          <w:szCs w:val="22"/>
        </w:rPr>
        <w:t xml:space="preserve">Geen ad hominem. Classificatie raakt het argument, niet de persoon.</w:t>
      </w:r>
    </w:p>
    <w:p>
      <w:pPr>
        <w:pStyle w:val="ListParagraph"/>
        <w:numPr>
          <w:ilvl w:val="0"/>
          <w:numId w:val="2"/>
        </w:numPr>
        <w:spacing w:after="40" w:before="40" w:line="300"/>
      </w:pPr>
      <w:r>
        <w:rPr>
          <w:rFonts w:ascii="Calibri" w:cs="Calibri" w:eastAsia="Calibri" w:hAnsi="Calibri"/>
          <w:color w:val="28251D"/>
          <w:sz w:val="22"/>
          <w:szCs w:val="22"/>
        </w:rPr>
        <w:t xml:space="preserve">Geen eenrichtingsverkeer. Indieners kunnen hun bezwaar publiekelijk laten herclassificeren door aanvullende motivering te leveren.</w:t>
      </w:r>
    </w:p>
    <w:p>
      <w:pPr>
        <w:spacing w:after="120" w:before="80" w:line="320"/>
        <w:jc w:val="both"/>
      </w:pPr>
      <w:r>
        <w:rPr>
          <w:rFonts w:ascii="Calibri" w:cs="Calibri" w:eastAsia="Calibri" w:hAnsi="Calibri"/>
          <w:color w:val="28251D"/>
          <w:sz w:val="22"/>
          <w:szCs w:val="22"/>
        </w:rPr>
        <w:t xml:space="preserve">Het protocol werkt alleen als het publiek, consistent en zonder uitzonderingen wordt toegepast. Eén keer een 2e-orde-bezwaar als 1e orde classificeren wegens politieke ongemakkelijkheid breekt het systeem. Het ingenieurskarakter is de geloofwaardigheidsbron — net als bij staalconstructie: een veiligheidsfactor die soms 1,5 en soms 0,8 is, is geen veiligheidsfactor meer.</w:t>
      </w:r>
    </w:p>
    <w:p>
      <w:pPr>
        <w:pStyle w:val="Heading1"/>
        <w:pageBreakBefore/>
        <w:spacing w:after="200" w:before="360"/>
      </w:pPr>
      <w:r>
        <w:rPr>
          <w:rFonts w:ascii="Calibri" w:cs="Calibri" w:eastAsia="Calibri" w:hAnsi="Calibri"/>
          <w:b/>
          <w:bCs/>
          <w:color w:val="1B474D"/>
          <w:sz w:val="40"/>
          <w:szCs w:val="40"/>
        </w:rPr>
        <w:t xml:space="preserve">6. Twintig actuele bezwaren, geclassificeerd</w:t>
      </w:r>
    </w:p>
    <w:p>
      <w:pPr>
        <w:spacing w:after="120" w:before="80" w:line="320"/>
        <w:jc w:val="both"/>
      </w:pPr>
      <w:r>
        <w:rPr>
          <w:rFonts w:ascii="Calibri" w:cs="Calibri" w:eastAsia="Calibri" w:hAnsi="Calibri"/>
          <w:color w:val="28251D"/>
          <w:sz w:val="22"/>
          <w:szCs w:val="22"/>
        </w:rPr>
        <w:t xml:space="preserve">Twintig bezwaren die in Nederland reëel circuleren bij hervormingen vergelijkbaar met Nova Democratia, getoetst aan het protocol uit hoofdstuk 5. Elk bezwaar krijgt een orde-stempel, een korte motivering, en de behandeling.</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600"/>
        <w:gridCol w:w="800"/>
        <w:gridCol w:w="3626"/>
      </w:tblGrid>
      <w:tr>
        <w:trPr>
          <w:tblHeader/>
        </w:trPr>
        <w:tc>
          <w:tcPr>
            <w:tcW w:type="dxa" w:w="5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25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Bezwaar</w:t>
            </w:r>
          </w:p>
        </w:tc>
        <w:tc>
          <w:tcPr>
            <w:tcW w:type="dxa" w:w="16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Indiener</w:t>
            </w:r>
          </w:p>
        </w:tc>
        <w:tc>
          <w:tcPr>
            <w:tcW w:type="dxa" w:w="8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Orde</w:t>
            </w:r>
          </w:p>
        </w:tc>
        <w:tc>
          <w:tcPr>
            <w:tcW w:type="dxa" w:w="36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Motivering / behandeling</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"Burgers zijn niet competent om over complexe materie te oordelen via burgerberaden"</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Tweede Kamerleden, deel bestuurskundigen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Verdedigt eigen vertegenwoordigingsmonopolie; zou niet geuit worden vanuit andere positie.</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"Sunsetwetten creëren rechtsonzekerheid"</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Juridische sector, ondernemers</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Een neutrale jurist zou hetzelfde bezwaar uiten. Verwerkt in ontwerp: gefaseerde termijnen en EU-uitzondering.</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"Afschaffing Balkenende-norm is graaicultuur"</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Linkse partijen, deel publieke opinie</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Emotioneel, geen analyse van loon-kwaliteitsrelatie. Ontwerp koppelt loon aan KPI’s en deselectie.</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"KPI-bestuur leidt tot perverse prikkels"</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Bestuurskundigen</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Legitieme ontwerpkritiek (Campbell's Law). Antwoord: onverwachte controles, sanctie-escalatie, burgerraad-evaluatie.</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"Prestatiebekostiging leidt tot teaching-to-the-test"</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Onderwijsbonden, pedagogen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2e+3e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Institutioneel verzet (2e) plus pedagogisch bezwaar (3e). Pakketdeal én ontwerpaanpassing: examens meten diepere competenties.</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"Dubbele stemming is te complex"</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Kiesraad, commentatoren</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Uitvoerbaarheidskritiek. Verwerkt via lokale pilots vóór landelijke uitrol.</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"Artikel 32 is censuur op publieke omroep"</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NPO, journalistenbonden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Verdedigt gefinancierd debatplatform. Ontwerp verbiedt geen debat — verplaatst het naar particuliere financiering.</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"Nova Democratia is technocratie verpakt als democratie"</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Politiek-filosofen</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Neutraal ontwerpargument. Antwoord: dubbele stemming en burgerberaden plaatsen volkswil expliciet boven technocratie.</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9</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"De 20%-deselectiedrempel is willekeurig"</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Bestuurskundigen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Ontwerpvraag. Drempel wordt gekalibreerd op basis van waarderingsfase per kernveld.</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10</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"Sunset kan ook fundamentele rechten laten vervallen"</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Rechtsstaatjuristen, mensenrechtenorganisaties</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Raakt grondslag. Mensenrechten worden uitgesloten van sunset; verlenging-bij-default geldt.</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11</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"Burgerberaden door loting zijn niet representatief"</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Politicologen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Statistische ontwerpkritiek. Verwerkt: gestratificeerde steekproef met minimumomvang per kernveld.</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12</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"Schoolbesturen verliezen autonomie"</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Schoolbesturen, koepels</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Verdedigt bedrijfsbelang. Autonomie blijft; alleen financiering verschuift naar resultaat.</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13</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"Particuliere omroepen worden commercieel gedomineerd"</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NPO-sympathisanten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Neutrale ontwerpkritiek. Verwerkt: coöperatieve omroepmodellen, transparantieplicht financiering.</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14</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"Wachtgeldafbouw maakt politiek onaantrekkelijk"</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Bestuurders, partijen</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Verdedigt post-functievooruitzichten. Hogere actieve salarissen compenseren reeds.</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15</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"EU-recht maakt veel van het ontwerp onmogelijk"</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Europese Commissie, EU-juristen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Legitieme juridische ontwerpkritiek. Verwerkt: EU-uitzonderingsclausule op sunset.</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16</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"Financiering per inwoner discrimineert kleine gemeenten"</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VNG, kleine gemeenten</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Ontwerpkritiek over schaalvoordelen. Verwerkt: staffel met minimumbedrag plus inwonercomponent.</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17</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"Eenhoofdig leiderschap concentreert te veel macht"</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Deel politicologen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Neutrale ontwerpvraag. Antwoord: KPI-deselectie, burgerraad-mandaat, controles. Macht in uitvoering, niet besluitvorming.</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18</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"Het ontwerp marginaliseert bestaande partijen"</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Zittende partijen</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Verdedigt eigen bestaansrecht. Partijen zijn instrument (2e orde), geen grondslag (4e).</w:t>
            </w:r>
          </w:p>
        </w:tc>
      </w:tr>
      <w:tr>
        <w:tc>
          <w:tcPr>
            <w:tcW w:type="dxa" w:w="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19</w:t>
            </w:r>
          </w:p>
        </w:tc>
        <w:tc>
          <w:tcPr>
            <w:tcW w:type="dxa" w:w="2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"Nova Democratia isoleert Nederland internationaal"</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Atlantici, internationalisten</w:t>
            </w:r>
          </w:p>
        </w:tc>
        <w:tc>
          <w:tcPr>
            <w:tcW w:type="dxa" w:w="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2e</w:t>
            </w:r>
          </w:p>
        </w:tc>
        <w:tc>
          <w:tcPr>
            <w:tcW w:type="dxa" w:w="36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Legitiem belang. Internationale verdragen blijven onder bestaande grondwetsclausules.</w:t>
            </w:r>
          </w:p>
        </w:tc>
      </w:tr>
      <w:tr>
        <w:tc>
          <w:tcPr>
            <w:tcW w:type="dxa" w:w="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20</w:t>
            </w:r>
          </w:p>
        </w:tc>
        <w:tc>
          <w:tcPr>
            <w:tcW w:type="dxa" w:w="2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"Er is geen draagvlak"</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Peilers, commentatoren, partijen</w:t>
            </w:r>
          </w:p>
        </w:tc>
        <w:tc>
          <w:tcPr>
            <w:tcW w:type="dxa" w:w="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4e</w:t>
            </w:r>
          </w:p>
        </w:tc>
        <w:tc>
          <w:tcPr>
            <w:tcW w:type="dxa" w:w="36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Legitimiteitsgrondslag. Daarom grondwetstweede-lezing en referendum als zelfopgelegde drempel.</w:t>
            </w:r>
          </w:p>
        </w:tc>
      </w:tr>
    </w:tbl>
    <w:p>
      <w:pPr>
        <w:pStyle w:val="Heading2"/>
        <w:spacing w:after="140" w:before="300"/>
      </w:pPr>
      <w:r>
        <w:rPr>
          <w:rFonts w:ascii="Calibri" w:cs="Calibri" w:eastAsia="Calibri" w:hAnsi="Calibri"/>
          <w:b/>
          <w:bCs/>
          <w:color w:val="1B474D"/>
          <w:sz w:val="30"/>
          <w:szCs w:val="30"/>
        </w:rPr>
        <w:t xml:space="preserve">Verdeling over de ordes</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600"/>
        <w:gridCol w:w="4726"/>
      </w:tblGrid>
      <w:tr>
        <w:trPr>
          <w:tblHeader/>
        </w:trPr>
        <w:tc>
          <w:tcPr>
            <w:tcW w:type="dxa" w:w="15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Orde</w:t>
            </w:r>
          </w:p>
        </w:tc>
        <w:tc>
          <w:tcPr>
            <w:tcW w:type="dxa" w:w="12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Aantal</w:t>
            </w:r>
          </w:p>
        </w:tc>
        <w:tc>
          <w:tcPr>
            <w:tcW w:type="dxa" w:w="16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 van totaal</w:t>
            </w:r>
          </w:p>
        </w:tc>
        <w:tc>
          <w:tcPr>
            <w:tcW w:type="dxa" w:w="47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Strategische status</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1e orde</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35%</w:t>
            </w:r>
          </w:p>
        </w:tc>
        <w:tc>
          <w:tcPr>
            <w:tcW w:type="dxa" w:w="47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Publiek classificeren = neutraliseren</w:t>
            </w:r>
          </w:p>
        </w:tc>
      </w:tr>
      <w:tr>
        <w:tc>
          <w:tcPr>
            <w:tcW w:type="dxa" w:w="1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3e orde</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9</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45%</w:t>
            </w:r>
          </w:p>
        </w:tc>
        <w:tc>
          <w:tcPr>
            <w:tcW w:type="dxa" w:w="47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Inhoudelijk verwerken in ontwerp — systeem wordt béter</w:t>
            </w:r>
          </w:p>
        </w:tc>
      </w:tr>
      <w:tr>
        <w:tc>
          <w:tcPr>
            <w:tcW w:type="dxa" w:w="1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2e orde (incl. gemengd)</w:t>
            </w:r>
          </w:p>
        </w:tc>
        <w:tc>
          <w:tcPr>
            <w:tcW w:type="dxa" w:w="12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w:t>
            </w:r>
          </w:p>
        </w:tc>
        <w:tc>
          <w:tcPr>
            <w:tcW w:type="dxa" w:w="16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10%</w:t>
            </w:r>
          </w:p>
        </w:tc>
        <w:tc>
          <w:tcPr>
            <w:tcW w:type="dxa" w:w="47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Onderhandelen in pakket</w:t>
            </w:r>
          </w:p>
        </w:tc>
      </w:tr>
      <w:tr>
        <w:tc>
          <w:tcPr>
            <w:tcW w:type="dxa" w:w="1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4e orde</w:t>
            </w:r>
          </w:p>
        </w:tc>
        <w:tc>
          <w:tcPr>
            <w:tcW w:type="dxa" w:w="12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w:t>
            </w:r>
          </w:p>
        </w:tc>
        <w:tc>
          <w:tcPr>
            <w:tcW w:type="dxa" w:w="16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10%</w:t>
            </w:r>
          </w:p>
        </w:tc>
        <w:tc>
          <w:tcPr>
            <w:tcW w:type="dxa" w:w="47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Legitimiteitstoets, niet onderhandelbaar</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0808D" w:sz="6"/>
              <w:left w:val="single" w:color="20808D" w:sz="18"/>
              <w:bottom w:val="single" w:color="20808D" w:sz="6"/>
              <w:right w:val="single" w:color="20808D" w:sz="6"/>
            </w:tcBorders>
            <w:shd w:fill="E8F0F1" w:val="clear"/>
            <w:tcMar>
              <w:top w:type="dxa" w:w="200"/>
              <w:left w:type="dxa" w:w="240"/>
              <w:bottom w:type="dxa" w:w="200"/>
              <w:right w:type="dxa" w:w="240"/>
            </w:tcMar>
          </w:tcPr>
          <w:p>
            <w:pPr>
              <w:spacing w:after="100"/>
            </w:pPr>
            <w:r>
              <w:rPr>
                <w:rFonts w:ascii="Calibri" w:cs="Calibri" w:eastAsia="Calibri" w:hAnsi="Calibri"/>
                <w:b/>
                <w:bCs/>
                <w:color w:val="1B474D"/>
                <w:sz w:val="22"/>
                <w:szCs w:val="22"/>
              </w:rPr>
              <w:t xml:space="preserve">Wat de classificatie demonstreert</w:t>
            </w:r>
          </w:p>
          <w:p>
            <w:pPr>
              <w:spacing w:line="320"/>
            </w:pPr>
            <w:r>
              <w:rPr>
                <w:rFonts w:ascii="Calibri" w:cs="Calibri" w:eastAsia="Calibri" w:hAnsi="Calibri"/>
                <w:color w:val="28251D"/>
                <w:sz w:val="22"/>
                <w:szCs w:val="22"/>
              </w:rPr>
              <w:t xml:space="preserve">45% van alle bezwaren is 3e orde en leidt tot concrete ontwerpwijzigingen — het systeem wordt beter door geclassificeerde tegenstand, niet zwakker. 35% is 1e orde en kan via consistente publieke classificatie geneutraliseerd worden zonder inhoudelijke bestrijding. 10% is 4e orde en wordt niet weerlegd maar opgenomen als zelfopgelegde legitimiteitstoets.</w:t>
            </w:r>
          </w:p>
        </w:tc>
      </w:tr>
    </w:tbl>
    <w:p>
      <w:pPr>
        <w:pStyle w:val="Heading1"/>
        <w:pageBreakBefore/>
        <w:spacing w:after="200" w:before="360"/>
      </w:pPr>
      <w:r>
        <w:rPr>
          <w:rFonts w:ascii="Calibri" w:cs="Calibri" w:eastAsia="Calibri" w:hAnsi="Calibri"/>
          <w:b/>
          <w:bCs/>
          <w:color w:val="1B474D"/>
          <w:sz w:val="40"/>
          <w:szCs w:val="40"/>
        </w:rPr>
        <w:t xml:space="preserve">7. Pareto-samenvatting en operationele volgende stappen</w:t>
      </w:r>
    </w:p>
    <w:p>
      <w:pPr>
        <w:pStyle w:val="Heading2"/>
        <w:spacing w:after="140" w:before="300"/>
      </w:pPr>
      <w:r>
        <w:rPr>
          <w:rFonts w:ascii="Calibri" w:cs="Calibri" w:eastAsia="Calibri" w:hAnsi="Calibri"/>
          <w:b/>
          <w:bCs/>
          <w:color w:val="1B474D"/>
          <w:sz w:val="30"/>
          <w:szCs w:val="30"/>
        </w:rPr>
        <w:t xml:space="preserve">Vier grafieken die het hele dossier samenvatten</w:t>
      </w:r>
    </w:p>
    <w:p>
      <w:pPr>
        <w:spacing w:after="120" w:before="80" w:line="320"/>
        <w:jc w:val="both"/>
      </w:pPr>
      <w:r>
        <w:rPr>
          <w:rFonts w:ascii="Calibri" w:cs="Calibri" w:eastAsia="Calibri" w:hAnsi="Calibri"/>
          <w:color w:val="28251D"/>
          <w:sz w:val="22"/>
          <w:szCs w:val="22"/>
        </w:rPr>
        <w:t xml:space="preserve">De Pareto-analyse van dit document is vastgelegd in een apart Excel-bestand met vijf tabbladen. De vier grafieken vatten de inhoud van hoofdstukken 3 tot en met 6 samen, met formules zodat scores aanpasbaar zijn voor kalibratie.</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3726"/>
      </w:tblGrid>
      <w:tr>
        <w:trPr>
          <w:tblHeader/>
        </w:trPr>
        <w:tc>
          <w:tcPr>
            <w:tcW w:type="dxa" w:w="18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Grafiek</w:t>
            </w:r>
          </w:p>
        </w:tc>
        <w:tc>
          <w:tcPr>
            <w:tcW w:type="dxa" w:w="35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Inhoud</w:t>
            </w:r>
          </w:p>
        </w:tc>
        <w:tc>
          <w:tcPr>
            <w:tcW w:type="dxa" w:w="37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Inzicht</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1. Tegenstand</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Top-12 groepen op blokkademacht (I × M × U)</w:t>
            </w:r>
          </w:p>
        </w:tc>
        <w:tc>
          <w:tcPr>
            <w:tcW w:type="dxa" w:w="37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80% van de blokkade komt van 12 groepen</w:t>
            </w:r>
          </w:p>
        </w:tc>
      </w:tr>
      <w:tr>
        <w:tc>
          <w:tcPr>
            <w:tcW w:type="dxa" w:w="1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 Na classificatie</w:t>
            </w:r>
          </w:p>
        </w:tc>
        <w:tc>
          <w:tcPr>
            <w:tcW w:type="dxa" w:w="3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Score vóór en na publieke ordeclassificatie</w:t>
            </w:r>
          </w:p>
        </w:tc>
        <w:tc>
          <w:tcPr>
            <w:tcW w:type="dxa" w:w="37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Totale blokkademacht halveert zonder weerlegging</w:t>
            </w:r>
          </w:p>
        </w:tc>
      </w:tr>
      <w:tr>
        <w:tc>
          <w:tcPr>
            <w:tcW w:type="dxa" w:w="1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 Bezwaren per orde</w:t>
            </w:r>
          </w:p>
        </w:tc>
        <w:tc>
          <w:tcPr>
            <w:tcW w:type="dxa" w:w="35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20 bezwaren over 4 ordes verdeeld</w:t>
            </w:r>
          </w:p>
        </w:tc>
        <w:tc>
          <w:tcPr>
            <w:tcW w:type="dxa" w:w="37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45% 3e orde verbetert het ontwerp; 35% 1e orde neutraliseerbaar</w:t>
            </w:r>
          </w:p>
        </w:tc>
      </w:tr>
      <w:tr>
        <w:tc>
          <w:tcPr>
            <w:tcW w:type="dxa" w:w="1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4. Hefbomen</w:t>
            </w:r>
          </w:p>
        </w:tc>
        <w:tc>
          <w:tcPr>
            <w:tcW w:type="dxa" w:w="35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Effectiviteit van transitie-instrumenten</w:t>
            </w:r>
          </w:p>
        </w:tc>
        <w:tc>
          <w:tcPr>
            <w:tcW w:type="dxa" w:w="37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Media en onderwijs scoren samen &gt;80% van alle hefboomkracht</w:t>
            </w:r>
          </w:p>
        </w:tc>
      </w:tr>
    </w:tbl>
    <w:p>
      <w:pPr>
        <w:pStyle w:val="Heading2"/>
        <w:spacing w:after="140" w:before="300"/>
      </w:pPr>
      <w:r>
        <w:rPr>
          <w:rFonts w:ascii="Calibri" w:cs="Calibri" w:eastAsia="Calibri" w:hAnsi="Calibri"/>
          <w:b/>
          <w:bCs/>
          <w:color w:val="1B474D"/>
          <w:sz w:val="30"/>
          <w:szCs w:val="30"/>
        </w:rPr>
        <w:t xml:space="preserve">Cumulatief effect van het hele model</w:t>
      </w:r>
    </w:p>
    <w:p>
      <w:pPr>
        <w:spacing w:after="120" w:before="80" w:line="320"/>
        <w:jc w:val="both"/>
      </w:pPr>
      <w:r>
        <w:rPr>
          <w:rFonts w:ascii="Calibri" w:cs="Calibri" w:eastAsia="Calibri" w:hAnsi="Calibri"/>
          <w:color w:val="28251D"/>
          <w:sz w:val="22"/>
          <w:szCs w:val="22"/>
        </w:rPr>
        <w:t xml:space="preserve">Volgt men de combinatie van gefaseerde transitie, mediahefboom als Fase –1, en publieke ordeclassificatie, dan ontstaat het volgende cumulatieve effect op de totale blokkademacht van de top-12 tegenstanders:</w:t>
      </w:r>
    </w:p>
    <w:p>
      <w:r>
        <w:rPr>
          <w:rFonts w:ascii="Calibri" w:cs="Calibri" w:eastAsia="Calibri" w:hAnsi="Calibri"/>
          <w:sz w:val="18"/>
          <w:szCs w:val="1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2700"/>
        <w:gridCol w:w="2526"/>
      </w:tblGrid>
      <w:tr>
        <w:trPr>
          <w:tblHeader/>
        </w:trPr>
        <w:tc>
          <w:tcPr>
            <w:tcW w:type="dxa" w:w="38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Maatregel</w:t>
            </w:r>
          </w:p>
        </w:tc>
        <w:tc>
          <w:tcPr>
            <w:tcW w:type="dxa" w:w="2700"/>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Resterende blokkademacht</w:t>
            </w:r>
          </w:p>
        </w:tc>
        <w:tc>
          <w:tcPr>
            <w:tcW w:type="dxa" w:w="2526"/>
            <w:tcBorders>
              <w:top w:val="single" w:color="B0B0B0" w:sz="4"/>
              <w:left w:val="single" w:color="B0B0B0" w:sz="4"/>
              <w:bottom w:val="single" w:color="B0B0B0" w:sz="4"/>
              <w:right w:val="single" w:color="B0B0B0" w:sz="4"/>
            </w:tcBorders>
            <w:shd w:fill="1B474D"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Cumulatieve reductie</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Geen maatregel — startpositie</w:t>
            </w:r>
          </w:p>
        </w:tc>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8.225</w:t>
            </w:r>
          </w:p>
        </w:tc>
        <w:tc>
          <w:tcPr>
            <w:tcW w:type="dxa" w:w="25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0%</w:t>
            </w:r>
          </w:p>
        </w:tc>
      </w:tr>
      <w:tr>
        <w:tc>
          <w:tcPr>
            <w:tcW w:type="dxa" w:w="3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Na mediahefboom (Fase –1, ordes-denken)</w:t>
            </w:r>
          </w:p>
        </w:tc>
        <w:tc>
          <w:tcPr>
            <w:tcW w:type="dxa" w:w="27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~5.000</w:t>
            </w:r>
          </w:p>
        </w:tc>
        <w:tc>
          <w:tcPr>
            <w:tcW w:type="dxa" w:w="25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~39%</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Na publieke ordeclassificatie</w:t>
            </w:r>
          </w:p>
        </w:tc>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~3.910</w:t>
            </w:r>
          </w:p>
        </w:tc>
        <w:tc>
          <w:tcPr>
            <w:tcW w:type="dxa" w:w="25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~53%</w:t>
            </w:r>
          </w:p>
        </w:tc>
      </w:tr>
      <w:tr>
        <w:tc>
          <w:tcPr>
            <w:tcW w:type="dxa" w:w="38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Na pakketdeal met bonden</w:t>
            </w:r>
          </w:p>
        </w:tc>
        <w:tc>
          <w:tcPr>
            <w:tcW w:type="dxa" w:w="2700"/>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~2.800</w:t>
            </w:r>
          </w:p>
        </w:tc>
        <w:tc>
          <w:tcPr>
            <w:tcW w:type="dxa" w:w="2526"/>
            <w:tcBorders>
              <w:top w:val="single" w:color="B0B0B0" w:sz="4"/>
              <w:left w:val="single" w:color="B0B0B0" w:sz="4"/>
              <w:bottom w:val="single" w:color="B0B0B0" w:sz="4"/>
              <w:right w:val="single" w:color="B0B0B0" w:sz="4"/>
            </w:tcBorders>
            <w:shd w:fill="E8F0F1"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~66%</w:t>
            </w:r>
          </w:p>
        </w:tc>
      </w:tr>
      <w:tr>
        <w:tc>
          <w:tcPr>
            <w:tcW w:type="dxa" w:w="38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Na EU-uitzondering op sunset</w:t>
            </w:r>
          </w:p>
        </w:tc>
        <w:tc>
          <w:tcPr>
            <w:tcW w:type="dxa" w:w="2700"/>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~2.350</w:t>
            </w:r>
          </w:p>
        </w:tc>
        <w:tc>
          <w:tcPr>
            <w:tcW w:type="dxa" w:w="2526"/>
            <w:tcBorders>
              <w:top w:val="single" w:color="B0B0B0" w:sz="4"/>
              <w:left w:val="single" w:color="B0B0B0" w:sz="4"/>
              <w:bottom w:val="single" w:color="B0B0B0" w:sz="4"/>
              <w:right w:val="single" w:color="B0B0B0" w:sz="4"/>
            </w:tcBorders>
            <w:shd w:fill="FFFFFF" w:val="clear"/>
            <w:tcMar>
              <w:top w:type="dxa" w:w="80"/>
              <w:left w:type="dxa" w:w="120"/>
              <w:bottom w:type="dxa" w:w="80"/>
              <w:right w:type="dxa" w:w="120"/>
            </w:tcMar>
            <w:vAlign w:val="center"/>
          </w:tcPr>
          <w:p>
            <w:pPr>
              <w:spacing w:after="20" w:before="20" w:line="280"/>
            </w:pPr>
            <w:r>
              <w:rPr>
                <w:rFonts w:ascii="Calibri" w:cs="Calibri" w:eastAsia="Calibri" w:hAnsi="Calibri"/>
                <w:color w:val="28251D"/>
                <w:sz w:val="20"/>
                <w:szCs w:val="20"/>
              </w:rPr>
              <w:t xml:space="preserve">~71%</w:t>
            </w:r>
          </w:p>
        </w:tc>
      </w:tr>
    </w:tbl>
    <w:p>
      <w:pPr>
        <w:spacing w:after="120" w:before="80" w:line="320"/>
        <w:jc w:val="both"/>
      </w:pPr>
      <w:r>
        <w:rPr>
          <w:rFonts w:ascii="Calibri" w:cs="Calibri" w:eastAsia="Calibri" w:hAnsi="Calibri"/>
          <w:color w:val="28251D"/>
          <w:sz w:val="22"/>
          <w:szCs w:val="22"/>
        </w:rPr>
        <w:t xml:space="preserve">Geen enkele blokkade verdwijnt geheel. Maar het samengestelde effect van de drie hoofdmechanismen — meten, classificeren, onderhandelen — reduceert de totale blokkademacht met ruim twee derde. Dat is de strategische winst: geen enkele tegenstander wordt verslagen, alle worden hanteerbaar.</w:t>
      </w:r>
    </w:p>
    <w:p>
      <w:pPr>
        <w:pStyle w:val="Heading2"/>
        <w:spacing w:after="140" w:before="300"/>
      </w:pPr>
      <w:r>
        <w:rPr>
          <w:rFonts w:ascii="Calibri" w:cs="Calibri" w:eastAsia="Calibri" w:hAnsi="Calibri"/>
          <w:b/>
          <w:bCs/>
          <w:color w:val="1B474D"/>
          <w:sz w:val="30"/>
          <w:szCs w:val="30"/>
        </w:rPr>
        <w:t xml:space="preserve">Operationele volgende stappen</w:t>
      </w:r>
    </w:p>
    <w:p>
      <w:pPr>
        <w:pStyle w:val="Heading3"/>
        <w:spacing w:after="100" w:before="240"/>
      </w:pPr>
      <w:r>
        <w:rPr>
          <w:rFonts w:ascii="Calibri" w:cs="Calibri" w:eastAsia="Calibri" w:hAnsi="Calibri"/>
          <w:b/>
          <w:bCs/>
          <w:color w:val="20808D"/>
          <w:sz w:val="24"/>
          <w:szCs w:val="24"/>
        </w:rPr>
        <w:t xml:space="preserve">A. Mediaplatform (start onmiddellijk)</w:t>
      </w:r>
    </w:p>
    <w:p>
      <w:pPr>
        <w:pStyle w:val="ListParagraph"/>
        <w:numPr>
          <w:ilvl w:val="0"/>
          <w:numId w:val="2"/>
        </w:numPr>
        <w:spacing w:after="40" w:before="40" w:line="300"/>
      </w:pPr>
      <w:r>
        <w:rPr>
          <w:rFonts w:ascii="Calibri" w:cs="Calibri" w:eastAsia="Calibri" w:hAnsi="Calibri"/>
          <w:color w:val="28251D"/>
          <w:sz w:val="22"/>
          <w:szCs w:val="22"/>
        </w:rPr>
        <w:t xml:space="preserve">Bezwaarregister Nova Democratia opzetten als doorlopende rubriek op openvizier en novademocratia.com, met het standaardformat uit hoofdstuk 5.</w:t>
      </w:r>
    </w:p>
    <w:p>
      <w:pPr>
        <w:pStyle w:val="ListParagraph"/>
        <w:numPr>
          <w:ilvl w:val="0"/>
          <w:numId w:val="2"/>
        </w:numPr>
        <w:spacing w:after="40" w:before="40" w:line="300"/>
      </w:pPr>
      <w:r>
        <w:rPr>
          <w:rFonts w:ascii="Calibri" w:cs="Calibri" w:eastAsia="Calibri" w:hAnsi="Calibri"/>
          <w:color w:val="28251D"/>
          <w:sz w:val="22"/>
          <w:szCs w:val="22"/>
        </w:rPr>
        <w:t xml:space="preserve">Wekelijkse analyse-rubriek "Structurele indicatoren" — hysteresis, vermoeiing, knikgrens — toegepast op het actuele nieuws.</w:t>
      </w:r>
    </w:p>
    <w:p>
      <w:pPr>
        <w:pStyle w:val="ListParagraph"/>
        <w:numPr>
          <w:ilvl w:val="0"/>
          <w:numId w:val="2"/>
        </w:numPr>
        <w:spacing w:after="40" w:before="40" w:line="300"/>
      </w:pPr>
      <w:r>
        <w:rPr>
          <w:rFonts w:ascii="Calibri" w:cs="Calibri" w:eastAsia="Calibri" w:hAnsi="Calibri"/>
          <w:color w:val="28251D"/>
          <w:sz w:val="22"/>
          <w:szCs w:val="22"/>
        </w:rPr>
        <w:t xml:space="preserve">Coalitievorming met particuliere omroepen, podcasters en publicisten die buiten het NPO-frame opereren.</w:t>
      </w:r>
    </w:p>
    <w:p>
      <w:pPr>
        <w:pStyle w:val="ListParagraph"/>
        <w:numPr>
          <w:ilvl w:val="0"/>
          <w:numId w:val="2"/>
        </w:numPr>
        <w:spacing w:after="40" w:before="40" w:line="300"/>
      </w:pPr>
      <w:r>
        <w:rPr>
          <w:rFonts w:ascii="Calibri" w:cs="Calibri" w:eastAsia="Calibri" w:hAnsi="Calibri"/>
          <w:color w:val="28251D"/>
          <w:sz w:val="22"/>
          <w:szCs w:val="22"/>
        </w:rPr>
        <w:t xml:space="preserve">Meetbaar succescriterium voor de overgang naar Fase 0: ≥30% van de respondenten in publieke peilingen gebruikt spontaan structurele termen.</w:t>
      </w:r>
    </w:p>
    <w:p>
      <w:pPr>
        <w:pStyle w:val="Heading3"/>
        <w:spacing w:after="100" w:before="240"/>
      </w:pPr>
      <w:r>
        <w:rPr>
          <w:rFonts w:ascii="Calibri" w:cs="Calibri" w:eastAsia="Calibri" w:hAnsi="Calibri"/>
          <w:b/>
          <w:bCs/>
          <w:color w:val="20808D"/>
          <w:sz w:val="24"/>
          <w:szCs w:val="24"/>
        </w:rPr>
        <w:t xml:space="preserve">B. Beweging en juridische voorbereiding (jaar 0)</w:t>
      </w:r>
    </w:p>
    <w:p>
      <w:pPr>
        <w:pStyle w:val="ListParagraph"/>
        <w:numPr>
          <w:ilvl w:val="0"/>
          <w:numId w:val="2"/>
        </w:numPr>
        <w:spacing w:after="40" w:before="40" w:line="300"/>
      </w:pPr>
      <w:r>
        <w:rPr>
          <w:rFonts w:ascii="Calibri" w:cs="Calibri" w:eastAsia="Calibri" w:hAnsi="Calibri"/>
          <w:color w:val="28251D"/>
          <w:sz w:val="22"/>
          <w:szCs w:val="22"/>
        </w:rPr>
        <w:t xml:space="preserve">Oprichting politieke beweging tegen ambtenarenmacht en voor Nova Democratia.</w:t>
      </w:r>
    </w:p>
    <w:p>
      <w:pPr>
        <w:pStyle w:val="ListParagraph"/>
        <w:numPr>
          <w:ilvl w:val="0"/>
          <w:numId w:val="2"/>
        </w:numPr>
        <w:spacing w:after="40" w:before="40" w:line="300"/>
      </w:pPr>
      <w:r>
        <w:rPr>
          <w:rFonts w:ascii="Calibri" w:cs="Calibri" w:eastAsia="Calibri" w:hAnsi="Calibri"/>
          <w:color w:val="28251D"/>
          <w:sz w:val="22"/>
          <w:szCs w:val="22"/>
        </w:rPr>
        <w:t xml:space="preserve">Ontwerp-grondwetswijziging op vier punten: sunsetclausules, machtenscheiding 2.0, afschaffing Balkenende-norm, Artikel 32.</w:t>
      </w:r>
    </w:p>
    <w:p>
      <w:pPr>
        <w:pStyle w:val="ListParagraph"/>
        <w:numPr>
          <w:ilvl w:val="0"/>
          <w:numId w:val="2"/>
        </w:numPr>
        <w:spacing w:after="40" w:before="40" w:line="300"/>
      </w:pPr>
      <w:r>
        <w:rPr>
          <w:rFonts w:ascii="Calibri" w:cs="Calibri" w:eastAsia="Calibri" w:hAnsi="Calibri"/>
          <w:color w:val="28251D"/>
          <w:sz w:val="22"/>
          <w:szCs w:val="22"/>
        </w:rPr>
        <w:t xml:space="preserve">Nulmeting van de 24 VMP-kernvelden per bestuurslaag, publiek gepubliceerd als baseline.</w:t>
      </w:r>
    </w:p>
    <w:p>
      <w:pPr>
        <w:pStyle w:val="Heading3"/>
        <w:spacing w:after="100" w:before="240"/>
      </w:pPr>
      <w:r>
        <w:rPr>
          <w:rFonts w:ascii="Calibri" w:cs="Calibri" w:eastAsia="Calibri" w:hAnsi="Calibri"/>
          <w:b/>
          <w:bCs/>
          <w:color w:val="20808D"/>
          <w:sz w:val="24"/>
          <w:szCs w:val="24"/>
        </w:rPr>
        <w:t xml:space="preserve">C. Pakketdeal-onderhandelingen (te starten in jaar 2)</w:t>
      </w:r>
    </w:p>
    <w:p>
      <w:pPr>
        <w:pStyle w:val="ListParagraph"/>
        <w:numPr>
          <w:ilvl w:val="0"/>
          <w:numId w:val="2"/>
        </w:numPr>
        <w:spacing w:after="40" w:before="40" w:line="300"/>
      </w:pPr>
      <w:r>
        <w:rPr>
          <w:rFonts w:ascii="Calibri" w:cs="Calibri" w:eastAsia="Calibri" w:hAnsi="Calibri"/>
          <w:color w:val="28251D"/>
          <w:sz w:val="22"/>
          <w:szCs w:val="22"/>
        </w:rPr>
        <w:t xml:space="preserve">Eén nationaal akkoord Modernisering Publieke Sector met drie pijlers: ambtenaren, onderwijs, publieke omroep.</w:t>
      </w:r>
    </w:p>
    <w:p>
      <w:pPr>
        <w:pStyle w:val="ListParagraph"/>
        <w:numPr>
          <w:ilvl w:val="0"/>
          <w:numId w:val="2"/>
        </w:numPr>
        <w:spacing w:after="40" w:before="40" w:line="300"/>
      </w:pPr>
      <w:r>
        <w:rPr>
          <w:rFonts w:ascii="Calibri" w:cs="Calibri" w:eastAsia="Calibri" w:hAnsi="Calibri"/>
          <w:color w:val="28251D"/>
          <w:sz w:val="22"/>
          <w:szCs w:val="22"/>
        </w:rPr>
        <w:t xml:space="preserve">Wortel per pijler eerst, stok pas na akkoord.</w:t>
      </w:r>
    </w:p>
    <w:p>
      <w:pPr>
        <w:pStyle w:val="ListParagraph"/>
        <w:numPr>
          <w:ilvl w:val="0"/>
          <w:numId w:val="2"/>
        </w:numPr>
        <w:spacing w:after="40" w:before="40" w:line="300"/>
      </w:pPr>
      <w:r>
        <w:rPr>
          <w:rFonts w:ascii="Calibri" w:cs="Calibri" w:eastAsia="Calibri" w:hAnsi="Calibri"/>
          <w:color w:val="28251D"/>
          <w:sz w:val="22"/>
          <w:szCs w:val="22"/>
        </w:rPr>
        <w:t xml:space="preserve">Timing afstemmen op CAO-cycli om gezamenlijke staking te vermijden.</w:t>
      </w:r>
    </w:p>
    <w:p>
      <w:pPr>
        <w:pStyle w:val="Heading3"/>
        <w:spacing w:after="100" w:before="240"/>
      </w:pPr>
      <w:r>
        <w:rPr>
          <w:rFonts w:ascii="Calibri" w:cs="Calibri" w:eastAsia="Calibri" w:hAnsi="Calibri"/>
          <w:b/>
          <w:bCs/>
          <w:color w:val="20808D"/>
          <w:sz w:val="24"/>
          <w:szCs w:val="24"/>
        </w:rPr>
        <w:t xml:space="preserve">D. Ontwerpaanpassingen op basis van 3e-orde-bezwaren</w:t>
      </w:r>
    </w:p>
    <w:p>
      <w:pPr>
        <w:pStyle w:val="ListParagraph"/>
        <w:numPr>
          <w:ilvl w:val="0"/>
          <w:numId w:val="2"/>
        </w:numPr>
        <w:spacing w:after="40" w:before="40" w:line="300"/>
      </w:pPr>
      <w:r>
        <w:rPr>
          <w:rFonts w:ascii="Calibri" w:cs="Calibri" w:eastAsia="Calibri" w:hAnsi="Calibri"/>
          <w:color w:val="28251D"/>
          <w:sz w:val="22"/>
          <w:szCs w:val="22"/>
        </w:rPr>
        <w:t xml:space="preserve">EU-implementatiewetten uitsluiten van sunset (bezwaar 15).</w:t>
      </w:r>
    </w:p>
    <w:p>
      <w:pPr>
        <w:pStyle w:val="ListParagraph"/>
        <w:numPr>
          <w:ilvl w:val="0"/>
          <w:numId w:val="2"/>
        </w:numPr>
        <w:spacing w:after="40" w:before="40" w:line="300"/>
      </w:pPr>
      <w:r>
        <w:rPr>
          <w:rFonts w:ascii="Calibri" w:cs="Calibri" w:eastAsia="Calibri" w:hAnsi="Calibri"/>
          <w:color w:val="28251D"/>
          <w:sz w:val="22"/>
          <w:szCs w:val="22"/>
        </w:rPr>
        <w:t xml:space="preserve">Mensenrechten-grondwet onder verlenging-bij-default (bezwaar 10).</w:t>
      </w:r>
    </w:p>
    <w:p>
      <w:pPr>
        <w:pStyle w:val="ListParagraph"/>
        <w:numPr>
          <w:ilvl w:val="0"/>
          <w:numId w:val="2"/>
        </w:numPr>
        <w:spacing w:after="40" w:before="40" w:line="300"/>
      </w:pPr>
      <w:r>
        <w:rPr>
          <w:rFonts w:ascii="Calibri" w:cs="Calibri" w:eastAsia="Calibri" w:hAnsi="Calibri"/>
          <w:color w:val="28251D"/>
          <w:sz w:val="22"/>
          <w:szCs w:val="22"/>
        </w:rPr>
        <w:t xml:space="preserve">Staffel voor financiering kleine gemeenten (bezwaar 16).</w:t>
      </w:r>
    </w:p>
    <w:p>
      <w:pPr>
        <w:pStyle w:val="ListParagraph"/>
        <w:numPr>
          <w:ilvl w:val="0"/>
          <w:numId w:val="2"/>
        </w:numPr>
        <w:spacing w:after="40" w:before="40" w:line="300"/>
      </w:pPr>
      <w:r>
        <w:rPr>
          <w:rFonts w:ascii="Calibri" w:cs="Calibri" w:eastAsia="Calibri" w:hAnsi="Calibri"/>
          <w:color w:val="28251D"/>
          <w:sz w:val="22"/>
          <w:szCs w:val="22"/>
        </w:rPr>
        <w:t xml:space="preserve">Gestratificeerde loting met minimumomvang per kernveld (bezwaar 11).</w:t>
      </w:r>
    </w:p>
    <w:p>
      <w:pPr>
        <w:pStyle w:val="Heading2"/>
        <w:spacing w:after="140" w:before="300"/>
      </w:pPr>
      <w:r>
        <w:rPr>
          <w:rFonts w:ascii="Calibri" w:cs="Calibri" w:eastAsia="Calibri" w:hAnsi="Calibri"/>
          <w:b/>
          <w:bCs/>
          <w:color w:val="1B474D"/>
          <w:sz w:val="30"/>
          <w:szCs w:val="30"/>
        </w:rPr>
        <w:t xml:space="preserve">Slotwoord</w:t>
      </w:r>
    </w:p>
    <w:p>
      <w:pPr>
        <w:spacing w:after="120" w:before="80" w:line="320"/>
        <w:jc w:val="both"/>
      </w:pPr>
      <w:r>
        <w:rPr>
          <w:rFonts w:ascii="Calibri" w:cs="Calibri" w:eastAsia="Calibri" w:hAnsi="Calibri"/>
          <w:color w:val="28251D"/>
          <w:sz w:val="22"/>
          <w:szCs w:val="22"/>
        </w:rPr>
        <w:t xml:space="preserve">Nova Democratia is geen utopie en geen revolutie. Het is een constructieberekening voor de staat, vertaald naar bestuurspraktijk. De huidige democratie heeft geen marge meer — de veiligheidsfactor nadert 1. De verbouwing kan niet worden uitgesteld, maar moet ook niet worden overhaast. Wat dit document biedt is de volgorde, de meetinstrumenten, en de classificatie die elke verbouwing aan een dragende constructie nodig heeft: niet om kritiek te smoren, maar om de juiste kritiek op het juiste moment door te laten dringen tot het ontwerp.</w:t>
      </w:r>
    </w:p>
    <w:p>
      <w:pPr>
        <w:spacing w:after="120" w:before="80" w:line="320"/>
        <w:jc w:val="both"/>
      </w:pPr>
      <w:r>
        <w:rPr>
          <w:rFonts w:ascii="Calibri" w:cs="Calibri" w:eastAsia="Calibri" w:hAnsi="Calibri"/>
          <w:color w:val="28251D"/>
          <w:sz w:val="22"/>
          <w:szCs w:val="22"/>
        </w:rPr>
        <w:t xml:space="preserve">Wie zelf wil rekenen kan dat: de scores in de Pareto-grafieken zijn formules, niet vaststaande feiten. De ordes zijn beslisbomen, geen dogma's. Het protocol is een norm, geen wet. Dit is de aard van een ingenieursaanpak op een politiek probleem — meetbaar, falsifieerbaar, en altijd herkalibreerbaar.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0808D" w:sz="6"/>
              <w:left w:val="single" w:color="20808D" w:sz="18"/>
              <w:bottom w:val="single" w:color="20808D" w:sz="6"/>
              <w:right w:val="single" w:color="20808D" w:sz="6"/>
            </w:tcBorders>
            <w:shd w:fill="E8F0F1" w:val="clear"/>
            <w:tcMar>
              <w:top w:type="dxa" w:w="200"/>
              <w:left w:type="dxa" w:w="240"/>
              <w:bottom w:type="dxa" w:w="200"/>
              <w:right w:type="dxa" w:w="240"/>
            </w:tcMar>
          </w:tcPr>
          <w:p>
            <w:pPr>
              <w:spacing w:after="100"/>
            </w:pPr>
            <w:r>
              <w:rPr>
                <w:rFonts w:ascii="Calibri" w:cs="Calibri" w:eastAsia="Calibri" w:hAnsi="Calibri"/>
                <w:b/>
                <w:bCs/>
                <w:color w:val="1B474D"/>
                <w:sz w:val="22"/>
                <w:szCs w:val="22"/>
              </w:rPr>
              <w:t xml:space="preserve">Eén toets, één maatstaf</w:t>
            </w:r>
          </w:p>
          <w:p>
            <w:pPr>
              <w:spacing w:line="320"/>
            </w:pPr>
            <w:r>
              <w:rPr>
                <w:rFonts w:ascii="Calibri" w:cs="Calibri" w:eastAsia="Calibri" w:hAnsi="Calibri"/>
                <w:color w:val="28251D"/>
                <w:sz w:val="22"/>
                <w:szCs w:val="22"/>
              </w:rPr>
              <w:t xml:space="preserve">De enige toets die telt is of de constructie de belastingen van de 21e eeuw kan dragen. Niet of zij mooi is, niet of zij goedkoop is, niet of zij geliefd is. Alleen of zij staat — en blijft staan, ook wanneer de wind anders waait dan vandaag.</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6B6B"/>
        <w:sz w:val="18"/>
        <w:szCs w:val="18"/>
      </w:rPr>
      <w:t xml:space="preserve">Pagina </w:t>
    </w:r>
    <w:r>
      <w:rPr>
        <w:rFonts w:ascii="Calibri" w:cs="Calibri" w:eastAsia="Calibri" w:hAnsi="Calibri"/>
        <w:color w:val="6B6B6B"/>
        <w:sz w:val="18"/>
        <w:szCs w:val="18"/>
      </w:rPr>
      <w:fldChar w:fldCharType="begin"/>
      <w:instrText xml:space="preserve">PAGE</w:instrText>
      <w:fldChar w:fldCharType="separate"/>
      <w:fldChar w:fldCharType="end"/>
    </w:r>
    <w:r>
      <w:rPr>
        <w:rFonts w:ascii="Calibri" w:cs="Calibri" w:eastAsia="Calibri" w:hAnsi="Calibri"/>
        <w:color w:val="6B6B6B"/>
        <w:sz w:val="18"/>
        <w:szCs w:val="18"/>
      </w:rPr>
      <w:t xml:space="preserve"> van </w:t>
    </w:r>
    <w:r>
      <w:rPr>
        <w:rFonts w:ascii="Calibri" w:cs="Calibri" w:eastAsia="Calibri" w:hAnsi="Calibri"/>
        <w:color w:val="6B6B6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B6B6B"/>
        <w:sz w:val="18"/>
        <w:szCs w:val="18"/>
      </w:rPr>
      <w:t xml:space="preserve">Nova Democratia — Transitiehandleiding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51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74D"/>
      <w:sz w:val="40"/>
      <w:szCs w:val="40"/>
    </w:rPr>
  </w:style>
  <w:style w:type="paragraph" w:styleId="Heading2">
    <w:name w:val="Heading 2"/>
    <w:basedOn w:val="Normal"/>
    <w:next w:val="Normal"/>
    <w:qFormat/>
    <w:pPr>
      <w:spacing w:after="140" w:before="300"/>
      <w:outlineLvl w:val="1"/>
    </w:pPr>
    <w:rPr>
      <w:rFonts w:ascii="Calibri" w:cs="Calibri" w:eastAsia="Calibri" w:hAnsi="Calibri"/>
      <w:b/>
      <w:bCs/>
      <w:color w:val="1B474D"/>
      <w:sz w:val="30"/>
      <w:szCs w:val="30"/>
    </w:rPr>
  </w:style>
  <w:style w:type="paragraph" w:styleId="Heading3">
    <w:name w:val="Heading 3"/>
    <w:basedOn w:val="Normal"/>
    <w:next w:val="Normal"/>
    <w:qFormat/>
    <w:pPr>
      <w:spacing w:after="100" w:before="240"/>
      <w:outlineLvl w:val="2"/>
    </w:pPr>
    <w:rPr>
      <w:rFonts w:ascii="Calibri" w:cs="Calibri" w:eastAsia="Calibri" w:hAnsi="Calibri"/>
      <w:b/>
      <w:bCs/>
      <w:color w:val="20808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Nova Democratia — Transitiehandleiding</dc:title>
  <dc:creator>Jacobus van Merksteijn</dc:creator>
  <dc:description>Gefaseerde invoering, gewogen tegenstand, publieke ordeclassificatie</dc:description>
  <cp:lastModifiedBy>Un-named</cp:lastModifiedBy>
  <cp:revision>1</cp:revision>
  <dcterms:created xsi:type="dcterms:W3CDTF">2026-06-02T21:46:24.298Z</dcterms:created>
  <dcterms:modified xsi:type="dcterms:W3CDTF">2026-06-02T21:46:24.298Z</dcterms:modified>
</cp:coreProperties>
</file>

<file path=docProps/custom.xml><?xml version="1.0" encoding="utf-8"?>
<Properties xmlns="http://schemas.openxmlformats.org/officeDocument/2006/custom-properties" xmlns:vt="http://schemas.openxmlformats.org/officeDocument/2006/docPropsVTypes"/>
</file>