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eto-over-vijf-jaar"/>
    <w:p>
      <w:pPr>
        <w:pStyle w:val="Heading2"/>
      </w:pPr>
      <w:r>
        <w:t xml:space="preserve">11 — Pareto over vijf jaar</w:t>
      </w:r>
    </w:p>
    <w:p>
      <w:pPr>
        <w:pStyle w:val="FirstParagraph"/>
      </w:pPr>
      <w:r>
        <w:rPr>
          <w:i/>
          <w:iCs/>
        </w:rPr>
        <w:t xml:space="preserve">Editie 6 telde veertien actoren die samen 9.175 punten blokkadekracht leverden tegen Nova Democratia. Wanneer Editie 6 en 7 in samenhang worden uitgevoerd — bondsraad, drie richtlijnen vervangen, drie scharniermechanismen — daalt die blokkadekracht binnen vijf jaar naar 5.350 punten. Een afname van tweeënveertig procent. Niet door één wet, maar door dertien gelijktijdige verschuivingen die elk hun eigen mechanisme volgen. Deze aflevering toont waar en waardoor.</w:t>
      </w:r>
    </w:p>
    <w:p>
      <w:pPr>
        <w:pStyle w:val="BodyText"/>
      </w:pPr>
      <w:r>
        <w:rPr>
          <w:b/>
          <w:bCs/>
        </w:rPr>
        <w:t xml:space="preserve">Wat de grafiek toont</w:t>
      </w:r>
    </w:p>
    <w:p>
      <w:pPr>
        <w:pStyle w:val="BodyText"/>
      </w:pPr>
      <w:r>
        <w:t xml:space="preserve">De rode balken zijn de blokkadescores uit Editie 6, aflevering 2 — gemeten in twintig zesentwintig, vóór enige uitvoering van Nova Democratia. De groene balken zijn de geprojecteerde scores in twintig eenendertig wanneer de bondsraad operationeel is, de drie EU-richtlijnen zijn vervangen, en de drie scharniermechanismen van afleveringen acht, negen en tien actief zijn. Elke daling wordt veroorzaakt door één of twee specifieke mechanismen — geen enkele actor wordt gedwongen, geen enkele actor wordt onteigend, geen enkele actor verdwijnt. Iedereen blijft bestaan; alleen hun blokkerend gewicht verschuift.</w:t>
      </w:r>
    </w:p>
    <w:p>
      <w:pPr>
        <w:pStyle w:val="BodyText"/>
      </w:pPr>
      <w:r>
        <w:t xml:space="preserve">Drie actoren verdwijnen vrijwel als blokkadekracht en worden bondgenoot.</w:t>
      </w:r>
      <w:r>
        <w:t xml:space="preserve"> </w:t>
      </w:r>
      <w:r>
        <w:rPr>
          <w:b/>
          <w:bCs/>
        </w:rPr>
        <w:t xml:space="preserve">NPO en journalisten</w:t>
      </w:r>
      <w:r>
        <w:t xml:space="preserve"> </w:t>
      </w:r>
      <w:r>
        <w:t xml:space="preserve">dalen van zeshonderdvijfentwintig naar tweehonderdveertig (een afname van tweeënzestig procent) doordat de leerfunctie van aflevering negen wordt geactiveerd — de pers krijgt eindelijk het materiaal en mandaat dat zij grondwettelijk al heeft.</w:t>
      </w:r>
      <w:r>
        <w:t xml:space="preserve"> </w:t>
      </w:r>
      <w:r>
        <w:rPr>
          <w:b/>
          <w:bCs/>
        </w:rPr>
        <w:t xml:space="preserve">Universiteiten en hogescholen</w:t>
      </w:r>
      <w:r>
        <w:t xml:space="preserve"> </w:t>
      </w:r>
      <w:r>
        <w:t xml:space="preserve">dalen van vijfhonderdtachtig naar tweehonderdtwintig (zesenzestig procent) omdat AI-druk en Nova Democratia-financiering hen actief in beweging zetten zoals aflevering tien beschrijft.</w:t>
      </w:r>
      <w:r>
        <w:t xml:space="preserve"> </w:t>
      </w:r>
      <w:r>
        <w:rPr>
          <w:b/>
          <w:bCs/>
        </w:rPr>
        <w:t xml:space="preserve">KNAW en academische koepels</w:t>
      </w:r>
      <w:r>
        <w:t xml:space="preserve"> </w:t>
      </w:r>
      <w:r>
        <w:t xml:space="preserve">dalen van vierhonderdvijfentwintig naar honderdtachtig (achtenvijftig procent) wanneer de kennislaag bondgenoot wordt en niet meer als procedurele rem fungeert maar als versneller.</w:t>
      </w:r>
    </w:p>
    <w:p>
      <w:pPr>
        <w:pStyle w:val="BodyText"/>
      </w:pPr>
      <w:r>
        <w:t xml:space="preserve">Drie andere actoren dalen sterk maar blijven aanwezig als gewicht — als gesprekspartner, niet meer als blokkade.</w:t>
      </w:r>
      <w:r>
        <w:t xml:space="preserve"> </w:t>
      </w:r>
      <w:r>
        <w:rPr>
          <w:b/>
          <w:bCs/>
        </w:rPr>
        <w:t xml:space="preserve">Politieke partijen op de agenda</w:t>
      </w:r>
      <w:r>
        <w:t xml:space="preserve"> </w:t>
      </w:r>
      <w:r>
        <w:t xml:space="preserve">dalen van achthonderdvijf naar driehonderdtwintig wanneer bevolking en bonden via de drie scharnieren bewegen; geen partij verdwijnt, maar het verzet van de bovenste laag wordt onhoudbaar als de onderste laag is gekanteld.</w:t>
      </w:r>
      <w:r>
        <w:t xml:space="preserve"> </w:t>
      </w:r>
      <w:r>
        <w:rPr>
          <w:b/>
          <w:bCs/>
        </w:rPr>
        <w:t xml:space="preserve">Onderwijsbonden</w:t>
      </w:r>
      <w:r>
        <w:t xml:space="preserve"> </w:t>
      </w:r>
      <w:r>
        <w:t xml:space="preserve">en</w:t>
      </w:r>
      <w:r>
        <w:t xml:space="preserve"> </w:t>
      </w:r>
      <w:r>
        <w:rPr>
          <w:b/>
          <w:bCs/>
        </w:rPr>
        <w:t xml:space="preserve">ambtenarenbonden</w:t>
      </w:r>
      <w:r>
        <w:t xml:space="preserve"> </w:t>
      </w:r>
      <w:r>
        <w:t xml:space="preserve">dalen vergelijkbaar — vijftig procent of meer — door dezelfde combinatie van persdruk en groeiende taart.</w:t>
      </w:r>
      <w:r>
        <w:t xml:space="preserve"> </w:t>
      </w:r>
      <w:r>
        <w:rPr>
          <w:b/>
          <w:bCs/>
        </w:rPr>
        <w:t xml:space="preserve">Zittende partijen op bestaansrecht</w:t>
      </w:r>
      <w:r>
        <w:t xml:space="preserve"> </w:t>
      </w:r>
      <w:r>
        <w:t xml:space="preserve">dalen van zeshonderdvijfenveertig naar driehonderdvijftig wanneer leerfunctie en bevolking de stemming structureel veranderen.</w:t>
      </w:r>
    </w:p>
    <w:p>
      <w:pPr>
        <w:pStyle w:val="BodyText"/>
      </w:pPr>
      <w:r>
        <w:t xml:space="preserve">Vier actoren dalen matig en blijven significant aanwezig:</w:t>
      </w:r>
      <w:r>
        <w:t xml:space="preserve"> </w:t>
      </w:r>
      <w:r>
        <w:rPr>
          <w:b/>
          <w:bCs/>
        </w:rPr>
        <w:t xml:space="preserve">EU-recht en verdragen</w:t>
      </w:r>
      <w:r>
        <w:t xml:space="preserve"> </w:t>
      </w:r>
      <w:r>
        <w:t xml:space="preserve">(vijfhonderdveertig),</w:t>
      </w:r>
      <w:r>
        <w:t xml:space="preserve"> </w:t>
      </w:r>
      <w:r>
        <w:rPr>
          <w:b/>
          <w:bCs/>
        </w:rPr>
        <w:t xml:space="preserve">ambtelijke top en dashboard</w:t>
      </w:r>
      <w:r>
        <w:t xml:space="preserve"> </w:t>
      </w:r>
      <w:r>
        <w:t xml:space="preserve">(vierhonderdtachtig),</w:t>
      </w:r>
      <w:r>
        <w:t xml:space="preserve"> </w:t>
      </w:r>
      <w:r>
        <w:rPr>
          <w:b/>
          <w:bCs/>
        </w:rPr>
        <w:t xml:space="preserve">Raad van State</w:t>
      </w:r>
      <w:r>
        <w:t xml:space="preserve"> </w:t>
      </w:r>
      <w:r>
        <w:t xml:space="preserve">(vijfhonderdtien) en</w:t>
      </w:r>
      <w:r>
        <w:t xml:space="preserve"> </w:t>
      </w:r>
      <w:r>
        <w:rPr>
          <w:b/>
          <w:bCs/>
        </w:rPr>
        <w:t xml:space="preserve">juridische sector</w:t>
      </w:r>
      <w:r>
        <w:t xml:space="preserve"> </w:t>
      </w:r>
      <w:r>
        <w:t xml:space="preserve">(vierhonderdzestig). Hun blokkadekracht is niet ideologisch maar institutioneel-procedureel. Zelfs onder Nova Democratia blijven juridische toets, ambtelijke dashboardpraktijk en Europees recht een gewichtige rem. Dat is goed — het is precies hun functie. Wat verandert, is dat hun rem niet meer de richting bepaalt maar de snelheid waarmee de richting wordt afgelegd. Zij zijn dan niet langer blokkade maar correctief.</w:t>
      </w:r>
    </w:p>
    <w:p>
      <w:pPr>
        <w:pStyle w:val="BodyText"/>
      </w:pPr>
      <w:r>
        <w:rPr>
          <w:b/>
          <w:bCs/>
        </w:rPr>
        <w:t xml:space="preserve">Het Pareto-effect: tachtig procent door zeven actoren</w:t>
      </w:r>
    </w:p>
    <w:p>
      <w:pPr>
        <w:pStyle w:val="BodyText"/>
      </w:pPr>
      <w:r>
        <w:t xml:space="preserve">In Editie 6 lag tachtig procent van de blokkadekracht bij de bovenste twaalf actoren. Onder Nova Democratia verschuift die concentratie. De bovenste vier — EU-recht, ambtelijke top, Raad van State, juridische sector — leveren samen straks bijna veertig procent van de resterende blokkade, allemaal procedureel van aard. De resterende zestig procent is verspreid over acht actoren die elk minder dan tien procent leveren, en met wie via gemeten gesprek voortgang mogelijk is. Het systeem wordt</w:t>
      </w:r>
      <w:r>
        <w:t xml:space="preserve"> </w:t>
      </w:r>
      <w:r>
        <w:rPr>
          <w:b/>
          <w:bCs/>
        </w:rPr>
        <w:t xml:space="preserve">bewerkbaar</w:t>
      </w:r>
      <w:r>
        <w:t xml:space="preserve"> </w:t>
      </w:r>
      <w:r>
        <w:t xml:space="preserve">— de Pareto-curve wordt minder steil, en dat is precies wat een gemeten bestuur nodig heeft: minder enkele blokkades met onevenredige macht, meer verspreide gesprekken met evenredig gewicht.</w:t>
      </w:r>
    </w:p>
    <w:p>
      <w:pPr>
        <w:pStyle w:val="BodyText"/>
      </w:pPr>
      <w:r>
        <w:rPr>
          <w:b/>
          <w:bCs/>
        </w:rPr>
        <w:t xml:space="preserve">De drie scharnieren in cijfers</w:t>
      </w:r>
    </w:p>
    <w:p>
      <w:pPr>
        <w:pStyle w:val="BodyText"/>
      </w:pPr>
      <w:r>
        <w:t xml:space="preserve">De grafiek maakt zichtbaar wat afleveringen acht, negen en tien afzonderlijk hebben uitgelegd. Het drukmechanisme van aflevering acht — pers, volk, bonden — levert daling bij vier actoren (politieke partijen, onderwijsbonden, ambtenarenbonden, Eerste Kamer): samen ongeveer veertien honderd punten minder blokkade. Het trekmechanisme van aflevering negen — leerfunctie publieke omroep — levert daling bij drie actoren (NPO/journalisten, zittende partijen, lobbykoepels): samen ongeveer negenhonderd punten minder. Het overlevingsmechanisme van aflevering tien — universiteiten in AI-wereld — levert daling bij drie actoren (universiteiten, schoolbesturen, KNAW): samen ongeveer achthonderd punten minder. De institutionele vervanging — drie EU-richtlijnen, bondsraad — levert daling bij vier actoren (EU-recht, ambtelijke top, Raad van State, juridische sector): samen ongeveer zevenhonderd punten minder. Vier mechanismen, ruim tweeduizend negenhonderd punten daling samen.</w:t>
      </w:r>
    </w:p>
    <w:p>
      <w:pPr>
        <w:pStyle w:val="BodyText"/>
      </w:pPr>
      <w:r>
        <w:rPr>
          <w:b/>
          <w:bCs/>
        </w:rPr>
        <w:t xml:space="preserve">Wat er voor nodig is</w:t>
      </w:r>
    </w:p>
    <w:p>
      <w:pPr>
        <w:pStyle w:val="BodyText"/>
      </w:pPr>
      <w:r>
        <w:t xml:space="preserve">De grafiek is een projectie, geen voorspelling. Zij geldt onder één voorwaarde: dat de uitvoering werkelijk gelijktijdig plaatsvindt, niet sequentieel. Wie alleen de drie richtlijnen vervangt zonder de scharnieren te activeren, krijgt vier of vijf actoren mee en de rest blijft staan — totaal effect ongeveer twintig procent daling, niet tweeënveertig. Wie alleen de scharnieren activeert zonder institutionele vervanging, krijgt zes of zeven actoren in beweging maar mist het EU-rechtelijke fundament — totaal effect ongeveer dertig procent. Pas wanneer beide gelijktijdig draaien, treedt het volle effect op. Dit is geen ideologische voorkeur maar Pareto-arithmetiek: drie scharnieren plus institutionele vervanging zijn niet additief maar multiplicatief.</w:t>
      </w:r>
    </w:p>
    <w:p>
      <w:pPr>
        <w:pStyle w:val="BodyText"/>
      </w:pPr>
      <w:r>
        <w:rPr>
          <w:b/>
          <w:bCs/>
        </w:rPr>
        <w:t xml:space="preserve">Waar de bewegingen worden uitgevoerd</w:t>
      </w:r>
    </w:p>
    <w:p>
      <w:pPr>
        <w:pStyle w:val="BodyText"/>
      </w:pPr>
      <w:r>
        <w:t xml:space="preserve">Voor elke actor in de grafiek bestaat een herkenbaar gespreksniveau. EU-recht en verdragen: de Commissie en het Europees Parlement, in een nieuwe industrieel-strategische trialoog die de Bondsraad initieert. Politieke partijen op agenda: de fractievoorzitters in nationale parlementen, via gerichte technische briefings van de kennislaag. Onderwijs- en ambtenarenbonden: hun jaarlijkse algemene ledenvergaderingen, gevoed door regionale pers. Ambtelijke top: de SG- en DG-conferenties die jaarlijks in Brussel en nationale hoofdsteden plaatsvinden. Schoolbesturen: hun nationale koepels (PO-Raad, VO-Raad). NPO en journalisten: de raden van bestuur en de hoofdredacties van NOS, Volkskrant, NRC, FAZ, Le Monde. Universiteiten: rectores magnifici en CvB-voorzitters. Lobbykoepels: VNO-NCW, BDI, MEDEF in een nieuwe formele samenwerking met de Bondsraad.</w:t>
      </w:r>
    </w:p>
    <w:p>
      <w:pPr>
        <w:pStyle w:val="BodyText"/>
      </w:pPr>
      <w:r>
        <w:t xml:space="preserve">Dit zijn dertig tot veertig sleutelgesprekken in vijf jaar — minder dan een gemiddelde Brusselse trialoog over een richtlijn. Het is geen onmogelijke opgave; het is de normale schaal van Europees bestuurlijk werk. Wat ontbreekt vandaag is niet de capaciteit om deze gesprekken te voeren maar het kader waarin zij betekenisvol kunnen worden gevoerd. Nova Democratia is dat kader. De Bondsraad is haar gesprekstafel. De twee hefbomen — Giant Juncao en plastic-opslag — zijn de concrete agenda. De drie scharnieren maken de andere kant van de tafel kantelbaar.</w:t>
      </w:r>
    </w:p>
    <w:p>
      <w:pPr>
        <w:pStyle w:val="BodyText"/>
      </w:pPr>
      <w:r>
        <w:rPr>
          <w:b/>
          <w:bCs/>
        </w:rPr>
        <w:t xml:space="preserve">De kritische kanttekening</w:t>
      </w:r>
    </w:p>
    <w:p>
      <w:pPr>
        <w:pStyle w:val="BodyText"/>
      </w:pPr>
      <w:r>
        <w:t xml:space="preserve">Eén ding moet eerlijk worden gezegd. Deze grafiek toont wat statistisch en strategisch mogelijk is wanneer alle ontwerp-veronderstellingen kloppen. Dat is niet hetzelfde als wat in werkelijkheid gebeurt. Veertig procent daling in vijf jaar is een ambitieuze projectie, vergelijkbaar met de productiviteitsstijging van mais tussen negentienvijftig en negentienzeventig. Het is geen wetmatigheid; het is een mogelijkheid wanneer alle elementen samenwerken. In de werkelijke uitvoering zullen onverwachte vertragingen, fouten en tegenslagen optreden. Twee scharnieren zullen sneller werken dan voorzien, één zal minder snel. Een richtlijn zal door één lidstaat worden geblokkeerd, een ander zal sneller dan verwacht aanvaard zijn. De grafiek toont een orde van grootte, geen exacte uitkomst. Wat zij betekent is: de blokkadekracht kan ingrijpend dalen wanneer het ontwerp samenhangend wordt uitgevoerd. Geen wonder, geen utopie, maar een werkbare reductie van tegenkracht naar een niveau waarop het nieuwe bestuursontwerp ademruimte krijgt.</w:t>
      </w:r>
    </w:p>
    <w:p>
      <w:pPr>
        <w:pStyle w:val="BodyText"/>
      </w:pPr>
      <w:r>
        <w:rPr>
          <w:b/>
          <w:bCs/>
        </w:rPr>
        <w:t xml:space="preserve">De vraag aan de lezer</w:t>
      </w:r>
    </w:p>
    <w:p>
      <w:pPr>
        <w:pStyle w:val="BodyText"/>
      </w:pPr>
      <w:r>
        <w:t xml:space="preserve">Wie deze grafiek ziet en zich afvraagt waar hij of zij in dit landschap staat, doet exact wat het Open Vizier voor ogen heeft. Bent u hoogleraar in Wageningen? Uw faculteit verschuift in vijf jaar van tweehonderd-twintig naar mogelijk veel minder, en uw onderzoek krijgt nieuwe ruimte. Bent u redacteur bij de Volkskrant? Uw rol verschuift van blokkade naar motor, met al het werkmateriaal dat de Bondsraad-persdienst levert. Bent u FNV-bestuurder in de havensector? Uw bond krijgt een nieuwe identiteit als Europese werknemersfederatie voor klimaatpositieve industrie. Bent u D66-Kamerlid? Uw fractie krijgt eindelijk het samenhangende industriebeleid dat zij twintig jaar zoekt. Bent u onbekend met deze materie maar leest u graag de krant op zondagochtend? Uw bijdrage is om dit verhaal verder te vertellen — een vriend, een familielid, een collega. Negen mensen aan tafel die over Giant Juncao hebben gehoord is meer waard dan vijf nieuwe wetten in Brussel.</w:t>
      </w:r>
    </w:p>
    <w:p>
      <w:pPr>
        <w:pStyle w:val="BodyText"/>
      </w:pPr>
      <w:r>
        <w:t xml:space="preserve">Dat is wat het Open Vizier publiceert: geen plan dat wordt uitgevoerd, maar een ontwerp dat wordt geopend. Wat ermee gebeurt, beslist de lezer. Aflevering twaalf werkt dat punt verder uit.</w:t>
      </w:r>
    </w:p>
    <w:p>
      <w:pPr>
        <w:pStyle w:val="BodyText"/>
      </w:pPr>
      <w:r>
        <w:rPr>
          <w:i/>
          <w:iCs/>
        </w:rPr>
        <w:t xml:space="preserve">Deze aflevering wordt nog uitgewerkt met een interactieve versie van de grafiek waarin elke actor aanklikbaar is voor het volledige scharnier-mechanisme, en met een tweede vergelijking die de tien-jaar-projectie toont.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2026-06-03T06:18:06Z</dcterms:created>
  <dcterms:modified xsi:type="dcterms:W3CDTF">2026-06-03T06:18:06Z</dcterms:modified>
</cp:coreProperties>
</file>

<file path=docProps/custom.xml><?xml version="1.0" encoding="utf-8"?>
<Properties xmlns="http://schemas.openxmlformats.org/officeDocument/2006/custom-properties" xmlns:vt="http://schemas.openxmlformats.org/officeDocument/2006/docPropsVTypes"/>
</file>