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d5ffe03be5430fb7d949dac386757d65cbf1031"/>
    <w:p>
      <w:pPr>
        <w:pStyle w:val="Heading1"/>
      </w:pPr>
      <w:r>
        <w:t xml:space="preserve">Regelbestand Gevolgenkaart — V4.1 (multi-landen editie)</w:t>
      </w:r>
    </w:p>
    <w:p>
      <w:pPr>
        <w:pStyle w:val="FirstParagraph"/>
      </w:pPr>
      <w:r>
        <w:rPr>
          <w:b/>
          <w:bCs/>
        </w:rPr>
        <w:t xml:space="preserve">Datum:</w:t>
      </w:r>
      <w:r>
        <w:t xml:space="preserve"> </w:t>
      </w:r>
      <w:r>
        <w:t xml:space="preserve">8 juli 2026</w:t>
      </w:r>
      <w:r>
        <w:t xml:space="preserve"> </w:t>
      </w:r>
      <w:r>
        <w:rPr>
          <w:b/>
          <w:bCs/>
        </w:rPr>
        <w:t xml:space="preserve">Live versie:</w:t>
      </w:r>
      <w:r>
        <w:t xml:space="preserve"> </w:t>
      </w:r>
      <w:r>
        <w:t xml:space="preserve">v0.7 (11 apps) + v0.1 (7 nieuwe apps) = 18 apps + Malta</w:t>
      </w:r>
      <w:r>
        <w:t xml:space="preserve"> </w:t>
      </w:r>
      <w:r>
        <w:rPr>
          <w:b/>
          <w:bCs/>
        </w:rPr>
        <w:t xml:space="preserve">Cache-versies:</w:t>
      </w:r>
      <w:r>
        <w:t xml:space="preserve"> </w:t>
      </w:r>
      <w:r>
        <w:rPr>
          <w:rStyle w:val="VerbatimChar"/>
        </w:rPr>
        <w:t xml:space="preserve">gk-XX-v0.7</w:t>
      </w:r>
      <w:r>
        <w:t xml:space="preserve"> </w:t>
      </w:r>
      <w:r>
        <w:t xml:space="preserve">(v3-serie) +</w:t>
      </w:r>
      <w:r>
        <w:t xml:space="preserve"> </w:t>
      </w:r>
      <w:r>
        <w:rPr>
          <w:rStyle w:val="VerbatimChar"/>
        </w:rPr>
        <w:t xml:space="preserve">gk-XX-v0.1</w:t>
      </w:r>
      <w:r>
        <w:t xml:space="preserve"> </w:t>
      </w:r>
      <w:r>
        <w:t xml:space="preserve">(nieuwe landen)</w:t>
      </w:r>
      <w:r>
        <w:t xml:space="preserve"> </w:t>
      </w:r>
      <w:r>
        <w:rPr>
          <w:b/>
          <w:bCs/>
        </w:rPr>
        <w:t xml:space="preserve">Auteur regelbestand:</w:t>
      </w:r>
      <w:r>
        <w:t xml:space="preserve"> </w:t>
      </w:r>
      <w:r>
        <w:t xml:space="preserve">Perplexity Computer (in opdracht van Jacobus van Merksteijn)</w:t>
      </w:r>
    </w:p>
    <w:p>
      <w:r>
        <w:pict>
          <v:rect style="width:0;height:1.5pt" o:hralign="center" o:hrstd="t" o:hr="t"/>
        </w:pict>
      </w:r>
    </w:p>
    <w:bookmarkStart w:id="20" w:name="voorwoord"/>
    <w:p>
      <w:pPr>
        <w:pStyle w:val="Heading2"/>
      </w:pPr>
      <w:r>
        <w:t xml:space="preserve">Voorwoord</w:t>
      </w:r>
    </w:p>
    <w:p>
      <w:pPr>
        <w:pStyle w:val="FirstParagraph"/>
      </w:pPr>
      <w:r>
        <w:t xml:space="preserve">V4.1 is de uitbreiding van V4 (v3.20.24, 6 juli 2026) met alle wijzigingen daarna. De belangrijkste verschuivingen: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Van 1 app (Spanje) naar 19 land-apps.</w:t>
      </w:r>
      <w:r>
        <w:t xml:space="preserve"> </w:t>
      </w:r>
      <w:r>
        <w:t xml:space="preserve">De scope-regel</w:t>
      </w:r>
      <w:r>
        <w:t xml:space="preserve"> </w:t>
      </w:r>
      <w:r>
        <w:t xml:space="preserve">“</w:t>
      </w:r>
      <w:r>
        <w:t xml:space="preserve">alleen Spanje</w:t>
      </w:r>
      <w:r>
        <w:t xml:space="preserve">”</w:t>
      </w:r>
      <w:r>
        <w:t xml:space="preserve"> </w:t>
      </w:r>
      <w:r>
        <w:t xml:space="preserve">van V4 is expliciet opgeheven op user-verzoek. Elk land heeft nu eigen 130-140 elementen, 9 partijen, NEPK-factoren en bundle.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Openvizier-NEPK-definitie is canoniek.</w:t>
      </w:r>
      <w:r>
        <w:t xml:space="preserve"> </w:t>
      </w:r>
      <w:r>
        <w:t xml:space="preserve">De NEPK-berekening volgt strikt het openvizier.org NEPK-Klimaatlogica artikel (Editie 2). Alle factor-metingen worden aan die definitie getoetst.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Historische aanloop per land per jaar.</w:t>
      </w:r>
      <w:r>
        <w:t xml:space="preserve"> </w:t>
      </w:r>
      <w:r>
        <w:t xml:space="preserve">Elke bundle toont eigen NEPK/NTPK-waarden voor 2024, 2025 en 2026 (dalend/stijgend patroon), berekend uit primaire nationale bureaus + OECD/IMF/Eurostat.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VMP en CARB clippen niet meer horizontaal.</w:t>
      </w:r>
      <w:r>
        <w:t xml:space="preserve"> </w:t>
      </w:r>
      <w:r>
        <w:t xml:space="preserve">Bij overschrijding van de grafiek-bovengrens wordt het lijnsegment onzichtbaar (M i.p.v. L in SVG-path) — geen streep op de rand.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Volledige UI-vertaling per app.</w:t>
      </w:r>
      <w:r>
        <w:t xml:space="preserve"> </w:t>
      </w:r>
      <w:r>
        <w:t xml:space="preserve">DE/CH-bundles in Duits, US/EU-bundles in Engels; NL-bundle in Nederlands. Andere talen (ES/CN/JP/KR/IN/TW) hebben eigen vertaling ontvangen of blijven Nederlands-Spaans-mix (nog te vertalen).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12 menu-pagina’s met 19 land-tegels</w:t>
      </w:r>
      <w:r>
        <w:t xml:space="preserve"> </w:t>
      </w:r>
      <w:r>
        <w:t xml:space="preserve">in de eigen taal per menu.</w:t>
      </w:r>
    </w:p>
    <w:p>
      <w:pPr>
        <w:pStyle w:val="FirstParagraph"/>
      </w:pPr>
      <w:r>
        <w:t xml:space="preserve">Regel 2 (bindend) blijft: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Alles wat je bouwt moet je zelf achterstaan, dus verifiëren, dan pas bouwen.</w:t>
      </w:r>
      <w:r>
        <w:rPr>
          <w:b/>
          <w:bCs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4" w:name="applicatiescope-v4.1"/>
    <w:p>
      <w:pPr>
        <w:pStyle w:val="Heading2"/>
      </w:pPr>
      <w:r>
        <w:t xml:space="preserve">1. Applicatiescope V4.1</w:t>
      </w:r>
    </w:p>
    <w:bookmarkStart w:id="21" w:name="wat-is-de-gevolgenkaart-nu"/>
    <w:p>
      <w:pPr>
        <w:pStyle w:val="Heading3"/>
      </w:pPr>
      <w:r>
        <w:t xml:space="preserve">1.1 Wat is de Gevolgenkaart nu?</w:t>
      </w:r>
    </w:p>
    <w:p>
      <w:pPr>
        <w:pStyle w:val="FirstParagraph"/>
      </w:pPr>
      <w:r>
        <w:t xml:space="preserve">Een matrix van 19 land-applicaties op openvizier.org. Elk gebruikt dezelfde motor (</w:t>
      </w:r>
      <w:r>
        <w:rPr>
          <w:rStyle w:val="VerbatimChar"/>
        </w:rPr>
        <w:t xml:space="preserve">PersonaFlow.js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levensloopEngine.ts</w:t>
      </w:r>
      <w:r>
        <w:t xml:space="preserve">) maar heeft eigen partij-lijst, beleidselementen, NEPK-startwaarden en historische reeks.</w:t>
      </w:r>
    </w:p>
    <w:p>
      <w:pPr>
        <w:pStyle w:val="BodyText"/>
      </w:pPr>
      <w:r>
        <w:t xml:space="preserve">Elke app:</w:t>
      </w:r>
      <w:r>
        <w:t xml:space="preserve"> </w:t>
      </w:r>
      <w:r>
        <w:t xml:space="preserve">- Stelt 4 vragen (regio, sector, filterprioriteit, persoonlijk profiel)</w:t>
      </w:r>
      <w:r>
        <w:t xml:space="preserve"> </w:t>
      </w:r>
      <w:r>
        <w:t xml:space="preserve">- Sorteert 9 land-eigen partijen op verwachte impact (1e/2e/3e orde-cascade)</w:t>
      </w:r>
      <w:r>
        <w:t xml:space="preserve"> </w:t>
      </w:r>
      <w:r>
        <w:t xml:space="preserve">- Toont VMP en CARB als referentiemodellen (toggle-knoppen)</w:t>
      </w:r>
      <w:r>
        <w:t xml:space="preserve"> </w:t>
      </w:r>
      <w:r>
        <w:t xml:space="preserve">- Projecteert 15-jaars levensloopgrafiek met inkomensindex + NTPK-koppeling</w:t>
      </w:r>
      <w:r>
        <w:t xml:space="preserve"> </w:t>
      </w:r>
      <w:r>
        <w:t xml:space="preserve">- Visualiseert de politieke as met partij-eigen kleuren</w:t>
      </w:r>
      <w:r>
        <w:t xml:space="preserve"> </w:t>
      </w:r>
      <w:r>
        <w:t xml:space="preserve">- Toont historische aanloop 2024→2026 + projectie 2026→2041</w:t>
      </w:r>
    </w:p>
    <w:bookmarkEnd w:id="21"/>
    <w:bookmarkStart w:id="22" w:name="de-19-apps-v4.1"/>
    <w:p>
      <w:pPr>
        <w:pStyle w:val="Heading3"/>
      </w:pPr>
      <w:r>
        <w:t xml:space="preserve">1.2 De 19 apps (V4.1)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Partijen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NEPK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Nederland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/nl/stemgedrag-app/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gk-nl-v0.7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Duitsland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/de/wahlfolgen-app/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gk-de-v0.7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7,79%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Zwitserland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/de-CH/folgenkarte-app/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gk-ch-v0.7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10,55%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/es/mapa-app/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gk-es-v3.20.29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/europa/gevolgenkaart-app/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gk-eu-v0.7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Verenigde Staten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/usa/consequence-app/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gk-us-v0.7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/cn/gevolgenkaart-app/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gk-cn-v0.7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/in/gevolgenkaart-app/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gk-in-v0.7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Zuid-Korea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/kr/gevolgenkaart-app/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gk-kr-v0.7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/jp/gevolgenkaart-app/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gk-jp-v0.7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Taiwan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/tw/gevolgenkaart-app/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gk-tw-v0.7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11,41%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Malta</w:t>
            </w:r>
            <w:r>
              <w:t xml:space="preserve"> </w:t>
            </w:r>
            <w:r>
              <w:rPr>
                <w:i/>
                <w:iCs/>
              </w:rPr>
              <w:t xml:space="preserve">(bestaand)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/en/vote-impact-app/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gk-mt-v3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/se/gevolgenkaart-app/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gk-se-v0.1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Israël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/il/gevolgenkaart-app/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gk-il-v0.1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/ir/gevolgenkaart-app/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gk-ir-v0.1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Zuid-Afrika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/za/gevolgenkaart-app/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gk-za-v0.1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Brazilië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/br/gevolgenkaart-app/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gk-br-v0.1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/cu/gevolgenkaart-app/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gk-cu-v0.1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Suriname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/sr/gevolgenkaart-app/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gk-sr-v0.1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11,00%</w:t>
            </w:r>
          </w:p>
        </w:tc>
      </w:tr>
    </w:tbl>
    <w:bookmarkEnd w:id="22"/>
    <w:bookmarkStart w:id="23" w:name="menu-paginas-per-taal"/>
    <w:p>
      <w:pPr>
        <w:pStyle w:val="Heading3"/>
      </w:pPr>
      <w:r>
        <w:t xml:space="preserve">1.3 Menu-pagina’s (per taal)</w:t>
      </w:r>
    </w:p>
    <w:p>
      <w:pPr>
        <w:pStyle w:val="FirstParagraph"/>
      </w:pPr>
      <w:r>
        <w:t xml:space="preserve">12 menu-pagina’s tonen elk</w:t>
      </w:r>
      <w:r>
        <w:t xml:space="preserve"> </w:t>
      </w:r>
      <w:r>
        <w:rPr>
          <w:b/>
          <w:bCs/>
        </w:rPr>
        <w:t xml:space="preserve">alle 19 landen</w:t>
      </w:r>
      <w:r>
        <w:t xml:space="preserve"> </w:t>
      </w:r>
      <w:r>
        <w:t xml:space="preserve">als tegels. Elke tegel heeft: 150×150 hero-image (parlementsgebouw), landsvlag-emoji, landsnaam in de menu-taal, app-label in de menu-taal, partij-lijst.</w:t>
      </w:r>
    </w:p>
    <w:p>
      <w:pPr>
        <w:pStyle w:val="BodyText"/>
      </w:pPr>
      <w:r>
        <w:t xml:space="preserve">Menu-URL’s per menutaal:</w:t>
      </w:r>
      <w:r>
        <w:t xml:space="preserve"> </w:t>
      </w:r>
      <w:r>
        <w:t xml:space="preserve">- nl → /nl/stemgedrag</w:t>
      </w:r>
      <w:r>
        <w:t xml:space="preserve"> </w:t>
      </w:r>
      <w:r>
        <w:t xml:space="preserve">- en → /en/vote-impact</w:t>
      </w:r>
      <w:r>
        <w:t xml:space="preserve"> </w:t>
      </w:r>
      <w:r>
        <w:t xml:space="preserve">- de → /de/wahlfolgen</w:t>
      </w:r>
      <w:r>
        <w:t xml:space="preserve"> </w:t>
      </w:r>
      <w:r>
        <w:t xml:space="preserve">- de-CH → /de-CH/folgenkarte</w:t>
      </w:r>
      <w:r>
        <w:t xml:space="preserve"> </w:t>
      </w:r>
      <w:r>
        <w:t xml:space="preserve">- es → /es/mapa</w:t>
      </w:r>
      <w:r>
        <w:t xml:space="preserve"> </w:t>
      </w:r>
      <w:r>
        <w:t xml:space="preserve">- zh → /cn/gevolgenkaart</w:t>
      </w:r>
      <w:r>
        <w:t xml:space="preserve"> </w:t>
      </w:r>
      <w:r>
        <w:t xml:space="preserve">- ja → /jp/gevolgenkaart</w:t>
      </w:r>
      <w:r>
        <w:t xml:space="preserve"> </w:t>
      </w:r>
      <w:r>
        <w:t xml:space="preserve">- ko → /kr/gevolgenkaart</w:t>
      </w:r>
      <w:r>
        <w:t xml:space="preserve"> </w:t>
      </w:r>
      <w:r>
        <w:t xml:space="preserve">- hi → /in/gevolgenkaart</w:t>
      </w:r>
      <w:r>
        <w:t xml:space="preserve"> </w:t>
      </w:r>
      <w:r>
        <w:t xml:space="preserve">- zh-TW → /tw/gevolgenkaart</w:t>
      </w:r>
      <w:r>
        <w:t xml:space="preserve"> </w:t>
      </w:r>
      <w:r>
        <w:t xml:space="preserve">- en (US) → /usa/consequence</w:t>
      </w:r>
      <w:r>
        <w:t xml:space="preserve"> </w:t>
      </w:r>
      <w:r>
        <w:t xml:space="preserve">- en (EU) → /europa/gevolgenkaart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bindende-gebruikersregels-v4.1"/>
    <w:p>
      <w:pPr>
        <w:pStyle w:val="Heading2"/>
      </w:pPr>
      <w:r>
        <w:t xml:space="preserve">2. Bindende gebruikersregels V4.1</w:t>
      </w:r>
    </w:p>
    <w:p>
      <w:pPr>
        <w:pStyle w:val="FirstParagraph"/>
      </w:pPr>
      <w:r>
        <w:t xml:space="preserve">Wijzigingen ten opzichte van V4: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V4-regel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V4.1-status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Communicatietaal: uitsluitend Nederlands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Bekrachtigd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Verifiëren, dan pas bouwen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Bekrachtigd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Geen Spaans in programmasysteem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Achterhaald</w:t>
            </w:r>
            <w:r>
              <w:t xml:space="preserve"> </w:t>
            </w:r>
            <w:r>
              <w:t xml:space="preserve">— nu 19 talen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Zoek de fout in bron/rekenmotor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Bekrachtigd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Geen kunstmatige correctiewaarden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Bekrachtigd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VMP/CARB toggle-knoppen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Bekrachtigd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NTPK i.p.v. NEPK voor inkomen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Bekrachtigd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Cubic-fit door 4 ankers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Bekrachtigd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VMP-scoring bevroren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Bekrachtigd per 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Alleen Spanje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OPGEHEVEN — 19 landen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 curve-waarden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Bekrachtigd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NEPK zichtbaar in inkomen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Bekrachtigd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(nieuw)</w:t>
            </w:r>
            <w:r>
              <w:t xml:space="preserve"> </w:t>
            </w:r>
            <w:r>
              <w:t xml:space="preserve">Alles congruent, alles gelijkvormig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Elke app volgt zelfde motor en zelfde structuur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(nieuw)</w:t>
            </w:r>
            <w:r>
              <w:t xml:space="preserve"> </w:t>
            </w:r>
            <w:r>
              <w:t xml:space="preserve">Alles perfect, alles in de juiste taal per land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Presentatietaal = doeltaal van bezoeker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(nieuw)</w:t>
            </w:r>
            <w:r>
              <w:t xml:space="preserve"> </w:t>
            </w:r>
            <w:r>
              <w:t xml:space="preserve">Alleen echte, onderzochte gegevens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Geen heuristische invulling, alleen bron-gedragen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(nieuw)</w:t>
            </w:r>
            <w:r>
              <w:t xml:space="preserve"> </w:t>
            </w:r>
            <w:r>
              <w:t xml:space="preserve">Geef me eerst uitleg voor je aanpast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Eerst analyse, dan actie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2" w:name="nepk-definitie-openvizier.org-canoniek"/>
    <w:p>
      <w:pPr>
        <w:pStyle w:val="Heading2"/>
      </w:pPr>
      <w:r>
        <w:t xml:space="preserve">3. NEPK-definitie — openvizier.org canoniek</w:t>
      </w:r>
    </w:p>
    <w:p>
      <w:pPr>
        <w:pStyle w:val="FirstParagraph"/>
      </w:pPr>
      <w:r>
        <w:rPr>
          <w:b/>
          <w:bCs/>
        </w:rPr>
        <w:t xml:space="preserve">Bron:</w:t>
      </w:r>
      <w:r>
        <w:t xml:space="preserve"> </w:t>
      </w:r>
      <w:hyperlink r:id="rId26">
        <w:r>
          <w:rPr>
            <w:rStyle w:val="Hyperlink"/>
          </w:rPr>
          <w:t xml:space="preserve">openvizier.org/nl/editie-2/nepk-klimaatlogica</w:t>
        </w:r>
      </w:hyperlink>
      <w:r>
        <w:t xml:space="preserve"> </w:t>
      </w:r>
      <w:r>
        <w:t xml:space="preserve">(Editie 2</w:t>
      </w:r>
      <w:r>
        <w:t xml:space="preserve"> </w:t>
      </w:r>
      <w:r>
        <w:t xml:space="preserve">“</w:t>
      </w:r>
      <w:r>
        <w:t xml:space="preserve">NEPK-Klimaatlogica</w:t>
      </w:r>
      <w:r>
        <w:t xml:space="preserve">”</w:t>
      </w:r>
      <w:r>
        <w:t xml:space="preserve">)</w:t>
      </w:r>
    </w:p>
    <w:bookmarkStart w:id="27" w:name="formule-bindend"/>
    <w:p>
      <w:pPr>
        <w:pStyle w:val="Heading3"/>
      </w:pPr>
      <w:r>
        <w:t xml:space="preserve">3.1 Formule (bindend)</w:t>
      </w:r>
    </w:p>
    <w:p>
      <w:pPr>
        <w:pStyle w:val="SourceCode"/>
      </w:pPr>
      <w:r>
        <w:rPr>
          <w:rStyle w:val="VerbatimChar"/>
        </w:rPr>
        <w:t xml:space="preserve">NEPK = E_tv × α × (1 − τ) × φ</w:t>
      </w:r>
      <w:r>
        <w:br/>
      </w:r>
      <w:r>
        <w:rPr>
          <w:rStyle w:val="VerbatimChar"/>
        </w:rPr>
        <w:t xml:space="preserve">NTPK = E_tv × α × (1 − τ)         Nationaal Tetsuo Productief Kapitaal</w:t>
      </w:r>
      <w:r>
        <w:br/>
      </w:r>
      <w:r>
        <w:rPr>
          <w:rStyle w:val="VerbatimChar"/>
        </w:rPr>
        <w:t xml:space="preserve">NPK  = NTPK × (1 + ψ)              Nationaal Productief Kapitaal (incl. buitenland)</w:t>
      </w:r>
    </w:p>
    <w:bookmarkEnd w:id="27"/>
    <w:bookmarkStart w:id="28" w:name="factor-definities"/>
    <w:p>
      <w:pPr>
        <w:pStyle w:val="Heading3"/>
      </w:pPr>
      <w:r>
        <w:t xml:space="preserve">3.2 Factor-definities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Betekenis openvizier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E_tv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exportwaardecreätie als % van BBP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Bruto export/BBP, GEEN TiVA-correctie in artikel; wel geschaald op artikel-tabel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α (alpha)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productieve kern (na overhead &amp; compliance)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Decimaal 0,17–0,58; hoger bij minder bureaucratie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τ (tau)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effectieve lastendruk / collectieve-lastenverhoudingscoëfficiënt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Decimaal 0,14–0,43; OECD tax-to-GDP incl. sociale premies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φ (phi)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aandeel nationaal eigendom in de kern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Decimaal 0,33–0,80; BREDER dan FATS — inclusief portfolio-buitenlands-aandeelhouderschap, HQ-vlucht, kapitaalvlucht</w:t>
            </w:r>
          </w:p>
        </w:tc>
      </w:tr>
    </w:tbl>
    <w:bookmarkEnd w:id="28"/>
    <w:bookmarkStart w:id="29" w:name="X7d15d8dc5790ac1d3383c070c8cd31eac2cb17b"/>
    <w:p>
      <w:pPr>
        <w:pStyle w:val="Heading3"/>
      </w:pPr>
      <w:r>
        <w:t xml:space="preserve">3.3 Canonieke ankers uit het artikel (7 landen 2026)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Ierland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Duitsland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0,44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0,40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0,72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7,8%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Nederland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0,39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0,43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0,53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4,5%</w:t>
            </w:r>
          </w:p>
        </w:tc>
      </w:tr>
    </w:tbl>
    <w:bookmarkEnd w:id="29"/>
    <w:bookmarkStart w:id="30" w:name="Xd0ca9a47f393d01da8ebb681003036e46a8d895"/>
    <w:p>
      <w:pPr>
        <w:pStyle w:val="Heading3"/>
      </w:pPr>
      <w:r>
        <w:t xml:space="preserve">3.4 Canonieke NL historische reeks (uit artikel)</w:t>
      </w:r>
    </w:p>
    <w:p>
      <w:pPr>
        <w:pStyle w:val="SourceCode"/>
      </w:pPr>
      <w:r>
        <w:rPr>
          <w:rStyle w:val="VerbatimChar"/>
        </w:rPr>
        <w:t xml:space="preserve">2000: 9,0%  →  2020: 5,3%  →  2024: 5,0%  →  2026: 4,5%  →  2030: 3,3% (baseline)</w:t>
      </w:r>
    </w:p>
    <w:p>
      <w:pPr>
        <w:pStyle w:val="FirstParagraph"/>
      </w:pPr>
      <w:r>
        <w:t xml:space="preserve">Actuele deploy (v0.7) toont voor NL 2024/2025/2026: 5,09% → 4,57% → 4,21% (dalend zoals artikel voorschrijft).</w:t>
      </w:r>
    </w:p>
    <w:bookmarkEnd w:id="30"/>
    <w:bookmarkStart w:id="31" w:name="waarschuwing-bij-interpretatie"/>
    <w:p>
      <w:pPr>
        <w:pStyle w:val="Heading3"/>
      </w:pPr>
      <w:r>
        <w:t xml:space="preserve">3.5 Waarschuwing bij interpretatie</w:t>
      </w:r>
    </w:p>
    <w:p>
      <w:pPr>
        <w:pStyle w:val="FirstParagraph"/>
      </w:pPr>
      <w:r>
        <w:t xml:space="preserve">φ is</w:t>
      </w:r>
      <w:r>
        <w:t xml:space="preserve"> </w:t>
      </w:r>
      <w:r>
        <w:rPr>
          <w:b/>
          <w:bCs/>
        </w:rPr>
        <w:t xml:space="preserve">niet</w:t>
      </w:r>
      <w:r>
        <w:t xml:space="preserve"> </w:t>
      </w:r>
      <w:r>
        <w:t xml:space="preserve">de FATS-definitie (Foreign Affiliates Statistics, meerderheidscontrole). φ is een</w:t>
      </w:r>
      <w:r>
        <w:t xml:space="preserve"> </w:t>
      </w:r>
      <w:r>
        <w:rPr>
          <w:b/>
          <w:bCs/>
        </w:rPr>
        <w:t xml:space="preserve">breed economisch eigendomsconcept</w:t>
      </w:r>
      <w:r>
        <w:t xml:space="preserve"> </w:t>
      </w:r>
      <w:r>
        <w:t xml:space="preserve">dat óók portfolio-buitenlandse aandeelhouders en HQ-vlucht meeneemt. Voor NL geeft FATS φ≈0,80; artikel gebruikt φ=0,53 (vanwege Shell/Unilever HQ-vertrek, ASML/Philips buitenlands aandeelhouderschap).</w:t>
      </w:r>
    </w:p>
    <w:p>
      <w:pPr>
        <w:pStyle w:val="BodyText"/>
      </w:pPr>
      <w:r>
        <w:rPr>
          <w:b/>
          <w:bCs/>
        </w:rPr>
        <w:t xml:space="preserve">Consequentie:</w:t>
      </w:r>
      <w:r>
        <w:t xml:space="preserve"> </w:t>
      </w:r>
      <w:r>
        <w:t xml:space="preserve">onderzoeken die alleen FATS gebruiken geven NEPK dubbel zo hoog uit als het artikel-anker. Altijd het bredere concept meten.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nieuwe-apps-2026-uitbreiding"/>
    <w:p>
      <w:pPr>
        <w:pStyle w:val="Heading2"/>
      </w:pPr>
      <w:r>
        <w:t xml:space="preserve">4. Nieuwe apps 2026-uitbreiding</w:t>
      </w:r>
    </w:p>
    <w:bookmarkStart w:id="33" w:name="zes-v0.2-apps-v3.20.24-augustus-2026"/>
    <w:p>
      <w:pPr>
        <w:pStyle w:val="Heading3"/>
      </w:pPr>
      <w:r>
        <w:t xml:space="preserve">4.1 Zes v0.2-apps (v3.20.24 + augustus 2026)</w:t>
      </w:r>
    </w:p>
    <w:p>
      <w:pPr>
        <w:pStyle w:val="FirstParagraph"/>
      </w:pPr>
      <w:r>
        <w:t xml:space="preserve">USA, China, India, Zuid-Korea, Japan, Taiwan — toegevoegd via commits</w:t>
      </w:r>
      <w:r>
        <w:t xml:space="preserve"> </w:t>
      </w:r>
      <w:r>
        <w:rPr>
          <w:rStyle w:val="VerbatimChar"/>
        </w:rPr>
        <w:t xml:space="preserve">1557c03c</w:t>
      </w:r>
      <w:r>
        <w:t xml:space="preserve"> </w:t>
      </w:r>
      <w:r>
        <w:t xml:space="preserve">(USA/CN/IN v0.2) en</w:t>
      </w:r>
      <w:r>
        <w:t xml:space="preserve"> </w:t>
      </w:r>
      <w:r>
        <w:rPr>
          <w:rStyle w:val="VerbatimChar"/>
        </w:rPr>
        <w:t xml:space="preserve">b3092447</w:t>
      </w:r>
      <w:r>
        <w:t xml:space="preserve"> </w:t>
      </w:r>
      <w:r>
        <w:t xml:space="preserve">(KR/JP/TW v0.2).</w:t>
      </w:r>
    </w:p>
    <w:p>
      <w:pPr>
        <w:pStyle w:val="BodyText"/>
      </w:pPr>
      <w:r>
        <w:t xml:space="preserve">Elke v0.2-app kreeg:</w:t>
      </w:r>
      <w:r>
        <w:t xml:space="preserve"> </w:t>
      </w:r>
      <w:r>
        <w:t xml:space="preserve">- 9 land-partijen (Riksdag/Congress/Diet/etc.)</w:t>
      </w:r>
      <w:r>
        <w:t xml:space="preserve"> </w:t>
      </w:r>
      <w:r>
        <w:t xml:space="preserve">- 130-180 land-specifieke beleidselementen</w:t>
      </w:r>
      <w:r>
        <w:t xml:space="preserve"> </w:t>
      </w:r>
      <w:r>
        <w:t xml:space="preserve">- Volledige DRIE_ORDE_TABEL + partij_posities</w:t>
      </w:r>
      <w:r>
        <w:t xml:space="preserve"> </w:t>
      </w:r>
      <w:r>
        <w:t xml:space="preserve">- NEPK-startwaarden 2026 uit primaire nationale bureaus</w:t>
      </w:r>
      <w:r>
        <w:t xml:space="preserve"> </w:t>
      </w:r>
      <w:r>
        <w:t xml:space="preserve">- Land-specifieke levensloop-metriek</w:t>
      </w:r>
    </w:p>
    <w:p>
      <w:pPr>
        <w:pStyle w:val="BodyText"/>
      </w:pPr>
      <w:r>
        <w:t xml:space="preserve">Kritieke fix</w:t>
      </w:r>
      <w:r>
        <w:t xml:space="preserve"> </w:t>
      </w:r>
      <w:r>
        <w:rPr>
          <w:rStyle w:val="VerbatimChar"/>
        </w:rPr>
        <w:t xml:space="preserve">cec8b89f</w:t>
      </w:r>
      <w:r>
        <w:t xml:space="preserve">:</w:t>
      </w:r>
      <w:r>
        <w:t xml:space="preserve"> </w:t>
      </w:r>
      <w:r>
        <w:rPr>
          <w:b/>
          <w:bCs/>
        </w:rPr>
        <w:t xml:space="preserve">NEPK_BUNDEL_PARTIJEN + OPTIMAAL mapping per land</w:t>
      </w:r>
      <w:r>
        <w:t xml:space="preserve"> </w:t>
      </w:r>
      <w:r>
        <w:t xml:space="preserve">— de bundle-motor moet weten welke partij-codes bij welk land horen.</w:t>
      </w:r>
    </w:p>
    <w:bookmarkEnd w:id="33"/>
    <w:bookmarkStart w:id="34" w:name="zeven-v0.1-apps-juli-2026"/>
    <w:p>
      <w:pPr>
        <w:pStyle w:val="Heading3"/>
      </w:pPr>
      <w:r>
        <w:t xml:space="preserve">4.2 Zeven v0.1-apps (juli 2026)</w:t>
      </w:r>
    </w:p>
    <w:p>
      <w:pPr>
        <w:pStyle w:val="FirstParagraph"/>
      </w:pPr>
      <w:r>
        <w:t xml:space="preserve">Zweden, Israël, Iran, Zuid-Afrika, Brazilië, Cuba, Suriname — commit</w:t>
      </w:r>
      <w:r>
        <w:t xml:space="preserve"> </w:t>
      </w:r>
      <w:r>
        <w:rPr>
          <w:rStyle w:val="VerbatimChar"/>
        </w:rPr>
        <w:t xml:space="preserve">7ae7a1c1</w:t>
      </w:r>
      <w:r>
        <w:t xml:space="preserve">.</w:t>
      </w:r>
    </w:p>
    <w:p>
      <w:pPr>
        <w:pStyle w:val="BodyText"/>
      </w:pPr>
      <w:r>
        <w:t xml:space="preserve">Elke v0.1-app heeft nu:</w:t>
      </w:r>
      <w:r>
        <w:t xml:space="preserve"> </w:t>
      </w:r>
      <w:r>
        <w:t xml:space="preserve">- Land-specifieke NEPK-factoren (E_tv, α, τ, φ) in</w:t>
      </w:r>
      <w:r>
        <w:t xml:space="preserve"> </w:t>
      </w:r>
      <w:r>
        <w:rPr>
          <w:rStyle w:val="VerbatimChar"/>
        </w:rPr>
        <w:t xml:space="preserve">hi.factoren</w:t>
      </w:r>
      <w:r>
        <w:t xml:space="preserve"> </w:t>
      </w:r>
      <w:r>
        <w:t xml:space="preserve">- Historische trend 2024/2025/2026</w:t>
      </w:r>
      <w:r>
        <w:t xml:space="preserve"> </w:t>
      </w:r>
      <w:r>
        <w:t xml:space="preserve">- Land-naam in vraag-tekst</w:t>
      </w:r>
      <w:r>
        <w:t xml:space="preserve"> </w:t>
      </w:r>
      <w:r>
        <w:t xml:space="preserve">- 150×150 hero-image (parlementsgebouw)</w:t>
      </w:r>
      <w:r>
        <w:t xml:space="preserve"> </w:t>
      </w:r>
      <w:r>
        <w:t xml:space="preserve">- Menu-tegel in alle 12 menu-talen</w:t>
      </w:r>
    </w:p>
    <w:p>
      <w:pPr>
        <w:pStyle w:val="BodyText"/>
      </w:pPr>
      <w:r>
        <w:rPr>
          <w:b/>
          <w:bCs/>
        </w:rPr>
        <w:t xml:space="preserve">Nog te injecteren (V4.1-injectie-ronde):</w:t>
      </w:r>
      <w:r>
        <w:t xml:space="preserve"> </w:t>
      </w:r>
      <w:r>
        <w:t xml:space="preserve">- DRIE_ORDE_TABEL per land (fe={…})</w:t>
      </w:r>
      <w:r>
        <w:t xml:space="preserve"> </w:t>
      </w:r>
      <w:r>
        <w:t xml:space="preserve">- partij_posities per land (pi=JSON.parse(…))</w:t>
      </w:r>
      <w:r>
        <w:t xml:space="preserve"> </w:t>
      </w:r>
      <w:r>
        <w:t xml:space="preserve">- Beleidselementen per land (ci=JSON.parse(…))</w:t>
      </w:r>
      <w:r>
        <w:t xml:space="preserve"> </w:t>
      </w:r>
      <w:r>
        <w:t xml:space="preserve">- Partij-metadata (li={…})</w:t>
      </w:r>
    </w:p>
    <w:p>
      <w:pPr>
        <w:pStyle w:val="BodyText"/>
      </w:pPr>
      <w:r>
        <w:t xml:space="preserve">Bronbestanden:</w:t>
      </w:r>
      <w:r>
        <w:t xml:space="preserve"> </w:t>
      </w:r>
      <w:r>
        <w:rPr>
          <w:rStyle w:val="VerbatimChar"/>
        </w:rPr>
        <w:t xml:space="preserve">/home/user/workspace/nieuwe_landen/{CODE}_norm.json</w:t>
      </w:r>
      <w:r>
        <w:t xml:space="preserve"> </w:t>
      </w:r>
      <w:r>
        <w:t xml:space="preserve">per land.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a7745eb3f07bf3dcda41551cd3709028a253733"/>
    <w:p>
      <w:pPr>
        <w:pStyle w:val="Heading2"/>
      </w:pPr>
      <w:r>
        <w:t xml:space="preserve">5. Historische aanloop NEPK/NTPK per land per jaar</w:t>
      </w:r>
    </w:p>
    <w:p>
      <w:pPr>
        <w:pStyle w:val="FirstParagraph"/>
      </w:pPr>
      <w:r>
        <w:t xml:space="preserve">Elk van de 19 bundles toont in de tweede SVG (titel</w:t>
      </w:r>
      <w:r>
        <w:t xml:space="preserve"> </w:t>
      </w:r>
      <w:r>
        <w:t xml:space="preserve">“</w:t>
      </w:r>
      <w:r>
        <w:t xml:space="preserve">Historische aanloop NEPK &amp; NTPK — [Land]</w:t>
      </w:r>
      <w:r>
        <w:t xml:space="preserve">”</w:t>
      </w:r>
      <w:r>
        <w:t xml:space="preserve">) de eigen jaar-waarden voor 2024, 2025, 2026. Deze staan in het</w:t>
      </w:r>
      <w:r>
        <w:t xml:space="preserve"> </w:t>
      </w:r>
      <w:r>
        <w:rPr>
          <w:rStyle w:val="VerbatimChar"/>
        </w:rPr>
        <w:t xml:space="preserve">hi.trend</w:t>
      </w:r>
      <w:r>
        <w:t xml:space="preserve">-object per bundle.</w:t>
      </w:r>
    </w:p>
    <w:bookmarkStart w:id="36" w:name="bron-methodiek-per-land"/>
    <w:p>
      <w:pPr>
        <w:pStyle w:val="Heading3"/>
      </w:pPr>
      <w:r>
        <w:t xml:space="preserve">5.1 Bron-methodiek per land</w:t>
      </w:r>
    </w:p>
    <w:p>
      <w:pPr>
        <w:pStyle w:val="FirstParagraph"/>
      </w:pPr>
      <w:r>
        <w:t xml:space="preserve">Primaire bureaus + OECD/IMF/Eurostat + openvizier-definitie: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Bronregel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CBS + CPB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Openvizier-artikel canoniek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BMF + Destatis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Openvizier-artikel canoniek (DE 2026 = 7,8%)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BFS + EFV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 TiVA + OECD Revenue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 + BdE + AEAT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Eurostat FIGARO + Banco de España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Eurostat FIGARO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Extra-EU export gewogen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 + OECD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 export-share + OECD tax-to-GDP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NBS + MOF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Bank + MOF general public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RBI + MoSPI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Bank export/BBP + RBI central+state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BOK + KOSTAT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OECD tax-to-GDP + KITA export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BoJ + MOF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Bank + JETRO FDI-stock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CBC + DGBAS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MOF Taiwan + CBC export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Riksbank + SCB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Bank + OECD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CBS Israel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Bank + JETRO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 + CBI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Bank + IMF Article 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 + Stats 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Bank + SARS tax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IBGE + Petrobras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Bank + OECD LAC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ONEI + PCC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IMF + LatAm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 + IMF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IMF Article IV + World Bank</w:t>
            </w:r>
          </w:p>
        </w:tc>
      </w:tr>
    </w:tbl>
    <w:bookmarkEnd w:id="36"/>
    <w:bookmarkStart w:id="37" w:name="injectie-vorm-in-bundle"/>
    <w:p>
      <w:pPr>
        <w:pStyle w:val="Heading3"/>
      </w:pPr>
      <w:r>
        <w:t xml:space="preserve">5.2 Injectie-vorm (in bundle)</w:t>
      </w:r>
    </w:p>
    <w:p>
      <w:pPr>
        <w:pStyle w:val="SourceCode"/>
      </w:pPr>
      <w:r>
        <w:rPr>
          <w:rStyle w:val="NormalTok"/>
        </w:rPr>
        <w:t xml:space="preserve">hi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peildatum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"2026-07-07"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kritische_grens_pct_bbp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fdi_afhankelijkheid_pct_bbp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3.2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schuld_service_pct_bbp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point_of_no_return_pct_bbp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factoren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E_tv_startwaarde_pct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alpha_startwaarde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</w:t>
      </w:r>
      <w:r>
        <w:rPr>
          <w:rStyle w:val="NormalTok"/>
        </w:rPr>
        <w:t xml:space="preserve">XX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tau_startwaarde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</w:t>
      </w:r>
      <w:r>
        <w:rPr>
          <w:rStyle w:val="NormalTok"/>
        </w:rPr>
        <w:t xml:space="preserve">XX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phi_startwaarde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</w:t>
      </w:r>
      <w:r>
        <w:rPr>
          <w:rStyle w:val="NormalTok"/>
        </w:rPr>
        <w:t xml:space="preserve">XX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psi_startwaarde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0.31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{</w:t>
      </w:r>
      <w:r>
        <w:rPr>
          <w:rStyle w:val="DataTypeTok"/>
        </w:rPr>
        <w:t xml:space="preserve">jaar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E_tv_pct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alpha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tau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phi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nepk_pct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ntpk_pct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bron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"canoniek"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rPr>
          <w:rStyle w:val="DataTypeTok"/>
        </w:rPr>
        <w:t xml:space="preserve">jaar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2025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rPr>
          <w:rStyle w:val="DataTypeTok"/>
        </w:rPr>
        <w:t xml:space="preserve">jaar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X6ee1bd3b0bf86c88bc6cb3cde01d97637ebae63"/>
    <w:p>
      <w:pPr>
        <w:pStyle w:val="Heading3"/>
      </w:pPr>
      <w:r>
        <w:t xml:space="preserve">5.3 Kritieke bug in V4: peildatum-string moet valide ISO zijn</w:t>
      </w:r>
    </w:p>
    <w:p>
      <w:pPr>
        <w:pStyle w:val="FirstParagraph"/>
      </w:pPr>
      <w:r>
        <w:t xml:space="preserve">Bug bij v3-cache-bump: peildatum werd</w:t>
      </w:r>
      <w:r>
        <w:t xml:space="preserve"> </w:t>
      </w:r>
      <w:r>
        <w:rPr>
          <w:rStyle w:val="VerbatimChar"/>
        </w:rPr>
        <w:t xml:space="preserve">"2026-07-07-v3"</w:t>
      </w:r>
      <w:r>
        <w:t xml:space="preserve"> </w:t>
      </w:r>
      <w:r>
        <w:t xml:space="preserve">— geen valide datum →</w:t>
      </w:r>
      <w:r>
        <w:t xml:space="preserve"> </w:t>
      </w:r>
      <w:r>
        <w:rPr>
          <w:rStyle w:val="VerbatimChar"/>
        </w:rPr>
        <w:t xml:space="preserve">new Date().getFullYear()</w:t>
      </w:r>
      <w:r>
        <w:t xml:space="preserve"> </w:t>
      </w:r>
      <w:r>
        <w:t xml:space="preserve">gaf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→ kalenderjaar-as, tipping-point-jaren en inkomensindex-berekeningen werden</w:t>
      </w:r>
      <w:r>
        <w:t xml:space="preserve"> </w:t>
      </w:r>
      <w:r>
        <w:rPr>
          <w:rStyle w:val="VerbatimChar"/>
        </w:rPr>
        <w:t xml:space="preserve">NaN</w:t>
      </w:r>
      <w:r>
        <w:t xml:space="preserve">. HOTFIX commit</w:t>
      </w:r>
      <w:r>
        <w:t xml:space="preserve"> </w:t>
      </w:r>
      <w:r>
        <w:rPr>
          <w:rStyle w:val="VerbatimChar"/>
        </w:rPr>
        <w:t xml:space="preserve">240b43cc</w:t>
      </w:r>
      <w:r>
        <w:t xml:space="preserve">: peildatum terug naar</w:t>
      </w:r>
      <w:r>
        <w:t xml:space="preserve"> </w:t>
      </w:r>
      <w:r>
        <w:rPr>
          <w:rStyle w:val="VerbatimChar"/>
        </w:rPr>
        <w:t xml:space="preserve">"2026-07-07"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V4.1-regel:</w:t>
      </w:r>
      <w:r>
        <w:t xml:space="preserve"> </w:t>
      </w:r>
      <w:r>
        <w:t xml:space="preserve">peildatum moet ALTIJD een valide ISO-datum zijn (YYYY-MM-DD), nooit met suffix.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vmpcarb-grafiek-clipping-v0.6-fix"/>
    <w:p>
      <w:pPr>
        <w:pStyle w:val="Heading2"/>
      </w:pPr>
      <w:r>
        <w:t xml:space="preserve">6. VMP/CARB grafiek-clipping (v0.6 fix)</w:t>
      </w:r>
    </w:p>
    <w:bookmarkStart w:id="40" w:name="de-bug"/>
    <w:p>
      <w:pPr>
        <w:pStyle w:val="Heading3"/>
      </w:pPr>
      <w:r>
        <w:t xml:space="preserve">6.1 De bug</w:t>
      </w:r>
    </w:p>
    <w:p>
      <w:pPr>
        <w:pStyle w:val="FirstParagraph"/>
      </w:pPr>
      <w:r>
        <w:t xml:space="preserve">De VMP- en CARB-referentielijnen op de LevensloopGrafiek gebruikten de clamp-functie</w:t>
      </w:r>
      <w:r>
        <w:t xml:space="preserve"> </w:t>
      </w:r>
      <w:r>
        <w:rPr>
          <w:rStyle w:val="VerbatimChar"/>
        </w:rPr>
        <w:t xml:space="preserve">P()</w:t>
      </w:r>
      <w:r>
        <w:t xml:space="preserve"> </w:t>
      </w:r>
      <w:r>
        <w:t xml:space="preserve">die y-waarden buiten [80, 200] terugbracht tot de rand. Bij overschrijding (bijv. CARB kwadratisch met j=15 → NTPK +141%) tekende de lijn een</w:t>
      </w:r>
      <w:r>
        <w:t xml:space="preserve"> </w:t>
      </w:r>
      <w:r>
        <w:rPr>
          <w:b/>
          <w:bCs/>
        </w:rPr>
        <w:t xml:space="preserve">horizontale streep langs de bovenrand</w:t>
      </w:r>
      <w:r>
        <w:t xml:space="preserve"> </w:t>
      </w:r>
      <w:r>
        <w:t xml:space="preserve">i.p.v. onzichtbaar te worden.</w:t>
      </w:r>
    </w:p>
    <w:bookmarkEnd w:id="40"/>
    <w:bookmarkStart w:id="41" w:name="de-fix-commit-44debf5f"/>
    <w:p>
      <w:pPr>
        <w:pStyle w:val="Heading3"/>
      </w:pPr>
      <w:r>
        <w:t xml:space="preserve">6.2 De fix (commit</w:t>
      </w:r>
      <w:r>
        <w:t xml:space="preserve"> </w:t>
      </w:r>
      <w:r>
        <w:rPr>
          <w:rStyle w:val="VerbatimChar"/>
        </w:rPr>
        <w:t xml:space="preserve">44debf5f</w:t>
      </w:r>
      <w:r>
        <w:t xml:space="preserve">)</w:t>
      </w:r>
    </w:p>
    <w:p>
      <w:pPr>
        <w:pStyle w:val="FirstParagraph"/>
      </w:pPr>
      <w:r>
        <w:t xml:space="preserve">Path-generatie in</w:t>
      </w:r>
      <w:r>
        <w:t xml:space="preserve"> </w:t>
      </w:r>
      <w:r>
        <w:rPr>
          <w:rStyle w:val="VerbatimChar"/>
        </w:rPr>
        <w:t xml:space="preserve">LevensloopGrafiek.tsx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OUD (V4 v3.20.24)</w:t>
      </w:r>
      <w:r>
        <w:br/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jaren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</w:t>
      </w:r>
      <w:r>
        <w:rPr>
          <w:rStyle w:val="Constant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N)</w:t>
      </w:r>
      <w:r>
        <w:rPr>
          <w:rStyle w:val="KeywordTok"/>
        </w:rPr>
        <w:t xml:space="preserve">=&gt;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===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?</w:t>
      </w:r>
      <w:r>
        <w:rPr>
          <w:rStyle w:val="StringTok"/>
        </w:rPr>
        <w:t xml:space="preserve">"M"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"L"</w:t>
      </w:r>
      <w:r>
        <w:rPr>
          <w:rStyle w:val="SpecialCharTok"/>
        </w:rPr>
        <w:t xml:space="preserve">}${</w:t>
      </w:r>
      <w:r>
        <w:rPr>
          <w:rStyle w:val="FunctionTok"/>
        </w:rPr>
        <w:t xml:space="preserve">u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c[N]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NIEUW (V4.1)</w:t>
      </w:r>
      <w:r>
        <w:br/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jaren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</w:t>
      </w:r>
      <w:r>
        <w:rPr>
          <w:rStyle w:val="Constant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c[N]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buiten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Punt is buiten → skip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c[N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buiten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SpecialCharTok"/>
        </w:rPr>
        <w:t xml:space="preserve">}${</w:t>
      </w:r>
      <w:r>
        <w:rPr>
          <w:rStyle w:val="FunctionTok"/>
        </w:rPr>
        <w:t xml:space="preserve">u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c[N]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Na buiten-punt: M i.p.v. L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Cirkel-markers (per 3 jaar) krijgen ook</w:t>
      </w:r>
      <w:r>
        <w:t xml:space="preserve"> </w:t>
      </w:r>
      <w:r>
        <w:rPr>
          <w:rStyle w:val="VerbatimChar"/>
        </w:rPr>
        <w:t xml:space="preserve">!P(index[E]).buiten</w:t>
      </w:r>
      <w:r>
        <w:t xml:space="preserve"> </w:t>
      </w:r>
      <w:r>
        <w:t xml:space="preserve">als extra filter — geen bolletjes meer op de rand.</w:t>
      </w:r>
    </w:p>
    <w:p>
      <w:pPr>
        <w:pStyle w:val="BodyText"/>
      </w:pPr>
      <w:r>
        <w:t xml:space="preserve">Driehoek-indicator ▲/▼ blijft intact aan de rand van de grafiek als visuele hint dat de lijn buiten is.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menu-lokalisatie-v0.7-vertaling"/>
    <w:p>
      <w:pPr>
        <w:pStyle w:val="Heading2"/>
      </w:pPr>
      <w:r>
        <w:t xml:space="preserve">7. Menu-lokalisatie (v0.7 vertaling)</w:t>
      </w:r>
    </w:p>
    <w:bookmarkStart w:id="43" w:name="vertaal-eis"/>
    <w:p>
      <w:pPr>
        <w:pStyle w:val="Heading3"/>
      </w:pPr>
      <w:r>
        <w:t xml:space="preserve">7.1 Vertaal-eis</w:t>
      </w:r>
    </w:p>
    <w:p>
      <w:pPr>
        <w:pStyle w:val="FirstParagraph"/>
      </w:pPr>
      <w:r>
        <w:rPr>
          <w:b/>
          <w:bCs/>
        </w:rPr>
        <w:t xml:space="preserve">V4.1-regel 14:</w:t>
      </w:r>
      <w:r>
        <w:t xml:space="preserve"> </w:t>
      </w:r>
      <w:r>
        <w:t xml:space="preserve">wanneer je een taal selecteert, moet alles wat je leest in die taal staan. Dat betekent per menu-taal:</w:t>
      </w:r>
      <w:r>
        <w:t xml:space="preserve"> </w:t>
      </w:r>
      <w:r>
        <w:t xml:space="preserve">- Kicker (masthead__kicker)</w:t>
      </w:r>
      <w:r>
        <w:t xml:space="preserve"> </w:t>
      </w:r>
      <w:r>
        <w:t xml:space="preserve">- Logo/titel (masthead__logo)</w:t>
      </w:r>
      <w:r>
        <w:t xml:space="preserve"> </w:t>
      </w:r>
      <w:r>
        <w:t xml:space="preserve">- Subtitle (masthead__sub)</w:t>
      </w:r>
      <w:r>
        <w:t xml:space="preserve"> </w:t>
      </w:r>
      <w:r>
        <w:t xml:space="preserve">- H1</w:t>
      </w:r>
      <w:r>
        <w:t xml:space="preserve"> </w:t>
      </w:r>
      <w:r>
        <w:t xml:space="preserve">- Sectie-koppen</w:t>
      </w:r>
      <w:r>
        <w:t xml:space="preserve"> </w:t>
      </w:r>
      <w:r>
        <w:t xml:space="preserve">- Intro-tekst</w:t>
      </w:r>
      <w:r>
        <w:t xml:space="preserve"> </w:t>
      </w:r>
      <w:r>
        <w:t xml:space="preserve">- App-labels op elke tegel</w:t>
      </w:r>
      <w:r>
        <w:t xml:space="preserve"> </w:t>
      </w:r>
      <w:r>
        <w:t xml:space="preserve">- Landsnaam op elke tegel</w:t>
      </w:r>
      <w:r>
        <w:t xml:space="preserve"> </w:t>
      </w:r>
      <w:r>
        <w:t xml:space="preserve">- Footer-tekst</w:t>
      </w:r>
    </w:p>
    <w:bookmarkEnd w:id="43"/>
    <w:bookmarkStart w:id="44" w:name="app-label-vertalingen"/>
    <w:p>
      <w:pPr>
        <w:pStyle w:val="Heading3"/>
      </w:pPr>
      <w:r>
        <w:t xml:space="preserve">7.2 App-label vertalingen</w:t>
      </w:r>
    </w:p>
    <w:p>
      <w:pPr>
        <w:pStyle w:val="FirstParagraph"/>
      </w:pPr>
      <w:r>
        <w:t xml:space="preserve">Per menu-taal krijgt elke tegel het lokale app-label: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Stemgedrag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Voting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Wahlverhalten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Comportamiento electoral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Verkiezingsgevolgen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Election Consequences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Wahlfolgen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Consecuencias electorales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Gevolgenkaart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Folgenkarte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de consecuencias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Gevolgenkaart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Folgenkarte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de consecuencias</w:t>
            </w:r>
          </w:p>
        </w:tc>
      </w:tr>
    </w:tbl>
    <w:bookmarkEnd w:id="44"/>
    <w:bookmarkStart w:id="45" w:name="bundle-ui-vertaling-v0.7"/>
    <w:p>
      <w:pPr>
        <w:pStyle w:val="Heading3"/>
      </w:pPr>
      <w:r>
        <w:t xml:space="preserve">7.3 Bundle-UI vertaling (v0.7)</w:t>
      </w:r>
    </w:p>
    <w:p>
      <w:pPr>
        <w:pStyle w:val="FirstParagraph"/>
      </w:pPr>
      <w:r>
        <w:rPr>
          <w:b/>
          <w:bCs/>
        </w:rPr>
        <w:t xml:space="preserve">DE bundle</w:t>
      </w:r>
      <w:r>
        <w:t xml:space="preserve"> </w:t>
      </w:r>
      <w:r>
        <w:t xml:space="preserve">(</w:t>
      </w:r>
      <w:r>
        <w:rPr>
          <w:rStyle w:val="VerbatimChar"/>
        </w:rPr>
        <w:t xml:space="preserve">de/wahlfolgen-app/</w:t>
      </w:r>
      <w:r>
        <w:t xml:space="preserve">) en</w:t>
      </w:r>
      <w:r>
        <w:t xml:space="preserve"> </w:t>
      </w:r>
      <w:r>
        <w:rPr>
          <w:b/>
          <w:bCs/>
        </w:rPr>
        <w:t xml:space="preserve">CH bundle</w:t>
      </w:r>
      <w:r>
        <w:t xml:space="preserve"> </w:t>
      </w:r>
      <w:r>
        <w:t xml:space="preserve">(</w:t>
      </w:r>
      <w:r>
        <w:rPr>
          <w:rStyle w:val="VerbatimChar"/>
        </w:rPr>
        <w:t xml:space="preserve">de-CH/folgenkarte-app/</w:t>
      </w:r>
      <w:r>
        <w:t xml:space="preserve">): alle 891 UI-strings vertaald naar Duits. Regio-namen aangepast (Berlin/München/Hamburg i.p.v. Madrid/Barcelona/Valencia). Termen: KMU (MKB), USt (BTW/IVA), Ballungsraum (Randstad), Vermögensteuer.</w:t>
      </w:r>
    </w:p>
    <w:p>
      <w:pPr>
        <w:pStyle w:val="BodyText"/>
      </w:pPr>
      <w:r>
        <w:rPr>
          <w:b/>
          <w:bCs/>
        </w:rPr>
        <w:t xml:space="preserve">US bundle</w:t>
      </w:r>
      <w:r>
        <w:t xml:space="preserve"> </w:t>
      </w:r>
      <w:r>
        <w:t xml:space="preserve">(</w:t>
      </w:r>
      <w:r>
        <w:rPr>
          <w:rStyle w:val="VerbatimChar"/>
        </w:rPr>
        <w:t xml:space="preserve">usa/consequence-app/</w:t>
      </w:r>
      <w:r>
        <w:t xml:space="preserve">) en</w:t>
      </w:r>
      <w:r>
        <w:t xml:space="preserve"> </w:t>
      </w:r>
      <w:r>
        <w:rPr>
          <w:b/>
          <w:bCs/>
        </w:rPr>
        <w:t xml:space="preserve">EU bundle</w:t>
      </w:r>
      <w:r>
        <w:t xml:space="preserve"> </w:t>
      </w:r>
      <w:r>
        <w:t xml:space="preserve">(</w:t>
      </w:r>
      <w:r>
        <w:rPr>
          <w:rStyle w:val="VerbatimChar"/>
        </w:rPr>
        <w:t xml:space="preserve">europa/gevolgenkaart-app/</w:t>
      </w:r>
      <w:r>
        <w:t xml:space="preserve">): alle 891 UI-strings vertaald naar Engels. Regio-namen: New York/Los Angeles/Chicago. Termen: Sales Tax (IVA), Federal Income Tax (IRPF), Rural America (España vaciada).</w:t>
      </w:r>
    </w:p>
    <w:p>
      <w:pPr>
        <w:pStyle w:val="BodyText"/>
      </w:pPr>
      <w:r>
        <w:rPr>
          <w:b/>
          <w:bCs/>
        </w:rPr>
        <w:t xml:space="preserve">Bundles nog met NL-basis</w:t>
      </w:r>
      <w:r>
        <w:t xml:space="preserve"> </w:t>
      </w:r>
      <w:r>
        <w:t xml:space="preserve">(juli 2026): ES/CN/JP/KR/IN/TW/EU. Vertaling naar respectievelijk Spaans/Chinees/Japans/Koreaans/Indian-English/Traditioneel Chinees is voorbereid als</w:t>
      </w:r>
      <w:r>
        <w:t xml:space="preserve"> </w:t>
      </w:r>
      <w:r>
        <w:rPr>
          <w:rStyle w:val="VerbatimChar"/>
        </w:rPr>
        <w:t xml:space="preserve">translations_{lang}.json</w:t>
      </w:r>
      <w:r>
        <w:t xml:space="preserve">, patch-run staat open voor volgende sessie.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rekenmotor-v4.1-ongewijzigd-t.o.v.-v4"/>
    <w:p>
      <w:pPr>
        <w:pStyle w:val="Heading2"/>
      </w:pPr>
      <w:r>
        <w:t xml:space="preserve">8. Rekenmotor V4.1 (ongewijzigd t.o.v. V4)</w:t>
      </w:r>
    </w:p>
    <w:p>
      <w:pPr>
        <w:pStyle w:val="FirstParagraph"/>
      </w:pPr>
      <w:r>
        <w:t xml:space="preserve">Alle secties 5.1–5.8 en 6.1 uit V4 blijven onverkort geldig:</w:t>
      </w:r>
      <w:r>
        <w:t xml:space="preserve"> </w:t>
      </w:r>
      <w:r>
        <w:t xml:space="preserve">- Vier factoren + drie afgeleide grootheden (NTPK/NEPK/NPK)</w:t>
      </w:r>
      <w:r>
        <w:t xml:space="preserve"> </w:t>
      </w:r>
      <w:r>
        <w:t xml:space="preserve">- Drie-orde-scoring per partij ([orde1, orde2, orde3] × 4 factoren)</w:t>
      </w:r>
      <w:r>
        <w:t xml:space="preserve"> </w:t>
      </w:r>
      <w:r>
        <w:t xml:space="preserve">- Orde-fase toewijzing (j≤3: orde 0, j≤8: orde 1, j≥9: orde 2)</w:t>
      </w:r>
      <w:r>
        <w:t xml:space="preserve"> </w:t>
      </w:r>
      <w:r>
        <w:t xml:space="preserve">- Baseline-drift + partij-ombuiging (v3.20.3)</w:t>
      </w:r>
      <w:r>
        <w:t xml:space="preserve"> </w:t>
      </w:r>
      <w:r>
        <w:t xml:space="preserve">- Cubic-fit door 4 ankers j=0,3,7,15 (v3.20.14)</w:t>
      </w:r>
      <w:r>
        <w:t xml:space="preserve"> </w:t>
      </w:r>
      <w:r>
        <w:t xml:space="preserve">- Inkomensindex-koppeling aan NTPK (v3.20.20)</w:t>
      </w:r>
      <w:r>
        <w:t xml:space="preserve"> </w:t>
      </w:r>
      <w:r>
        <w:t xml:space="preserve">- partijGroeiPerJaar envelope-model</w:t>
      </w:r>
      <w:r>
        <w:t xml:space="preserve"> </w:t>
      </w:r>
      <w:r>
        <w:t xml:space="preserve">- CARB kwadratisch (v3.20.24): E_tv</w:t>
      </w:r>
      <w:r>
        <w:t xml:space="preserve"> </w:t>
      </w:r>
      <w:r>
        <w:rPr>
          <w:rStyle w:val="VerbatimChar"/>
        </w:rPr>
        <w:t xml:space="preserve">[0.01, 0.10, 0.40]</w:t>
      </w:r>
      <w:r>
        <w:t xml:space="preserve"> </w:t>
      </w:r>
      <w:r>
        <w:t xml:space="preserve">- VMP referentie: E_tv</w:t>
      </w:r>
      <w:r>
        <w:t xml:space="preserve"> </w:t>
      </w:r>
      <w:r>
        <w:rPr>
          <w:rStyle w:val="VerbatimChar"/>
        </w:rPr>
        <w:t xml:space="preserve">[0.06, 0.12, 0.20]</w:t>
      </w:r>
    </w:p>
    <w:bookmarkStart w:id="47" w:name="X9f3a746b202a5cf303b5768474cb8608a83037e"/>
    <w:p>
      <w:pPr>
        <w:pStyle w:val="Heading3"/>
      </w:pPr>
      <w:r>
        <w:t xml:space="preserve">8.1 NEPK_BUNDEL_PARTIJEN + OPTIMAAL mapping (v0.2 kritieke fix)</w:t>
      </w:r>
    </w:p>
    <w:p>
      <w:pPr>
        <w:pStyle w:val="FirstParagraph"/>
      </w:pPr>
      <w:r>
        <w:t xml:space="preserve">Commit</w:t>
      </w:r>
      <w:r>
        <w:t xml:space="preserve"> </w:t>
      </w:r>
      <w:r>
        <w:rPr>
          <w:rStyle w:val="VerbatimChar"/>
        </w:rPr>
        <w:t xml:space="preserve">cec8b89f</w:t>
      </w:r>
      <w:r>
        <w:t xml:space="preserve">: elke land-bundle moet de eigen partij-codes hebben in de</w:t>
      </w:r>
      <w:r>
        <w:t xml:space="preserve"> </w:t>
      </w:r>
      <w:r>
        <w:rPr>
          <w:rStyle w:val="VerbatimChar"/>
        </w:rPr>
        <w:t xml:space="preserve">NEPK_BUNDEL_PARTIJEN</w:t>
      </w:r>
      <w:r>
        <w:t xml:space="preserve">-lijst én in de</w:t>
      </w:r>
      <w:r>
        <w:t xml:space="preserve"> </w:t>
      </w:r>
      <w:r>
        <w:rPr>
          <w:rStyle w:val="VerbatimChar"/>
        </w:rPr>
        <w:t xml:space="preserve">OPTIMAAL</w:t>
      </w:r>
      <w:r>
        <w:t xml:space="preserve">-mapping. Anders faalt de motor met</w:t>
      </w:r>
      <w:r>
        <w:t xml:space="preserve"> </w:t>
      </w:r>
      <w:r>
        <w:t xml:space="preserve">“</w:t>
      </w:r>
      <w:r>
        <w:t xml:space="preserve">onbekende partij</w:t>
      </w:r>
      <w:r>
        <w:t xml:space="preserve">”</w:t>
      </w:r>
      <w:r>
        <w:t xml:space="preserve"> </w:t>
      </w:r>
      <w:r>
        <w:t xml:space="preserve">errors.</w:t>
      </w:r>
    </w:p>
    <w:p>
      <w:pPr>
        <w:pStyle w:val="BodyText"/>
      </w:pPr>
      <w:r>
        <w:t xml:space="preserve">Injectie-vorm per land: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NEPK_BUNDEL_PARTIJEN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"PARTIJ1"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"PARTIJ2"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"PARTIJ3"</w:t>
      </w:r>
      <w:r>
        <w:rPr>
          <w:rStyle w:val="OperatorTok"/>
        </w:rPr>
        <w:t xml:space="preserve">,...,</w:t>
      </w:r>
      <w:r>
        <w:rPr>
          <w:rStyle w:val="StringTok"/>
        </w:rPr>
        <w:t xml:space="preserve">"VMP"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"CARB"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OPTIMAAL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D1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"PARTIJ_X"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D2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"PARTIJ_Y"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14 domeinen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X2c2138f78d3abc0625887d608f59f6160f494b6"/>
    <w:p>
      <w:pPr>
        <w:pStyle w:val="Heading2"/>
      </w:pPr>
      <w:r>
        <w:t xml:space="preserve">9. V4.1 injectie-procedure voor nieuwe landen</w:t>
      </w:r>
    </w:p>
    <w:p>
      <w:pPr>
        <w:pStyle w:val="FirstParagraph"/>
      </w:pPr>
      <w:r>
        <w:t xml:space="preserve">Voor elk nieuw land (SE/IL/IR/ZA/BR/CU/SR) is de volledige V4.1-injectie:</w:t>
      </w:r>
    </w:p>
    <w:bookmarkStart w:id="49" w:name="vier-data-secties"/>
    <w:p>
      <w:pPr>
        <w:pStyle w:val="Heading3"/>
      </w:pPr>
      <w:r>
        <w:t xml:space="preserve">9.1 Vier data-secties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ci=JSON.parse('[...]')</w:t>
      </w:r>
      <w:r>
        <w:t xml:space="preserve"> </w:t>
      </w:r>
      <w:r>
        <w:t xml:space="preserve">— 130-140 beleidselementen array</w:t>
      </w:r>
      <w:r>
        <w:t xml:space="preserve"> </w:t>
      </w:r>
      <w:r>
        <w:t xml:space="preserve">Vorm:</w:t>
      </w:r>
      <w:r>
        <w:t xml:space="preserve"> </w:t>
      </w:r>
      <w:r>
        <w:rPr>
          <w:rStyle w:val="VerbatimChar"/>
        </w:rPr>
        <w:t xml:space="preserve">[{code,kort,basis:[9-array],cat,rf,mc}, ...]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pi=JSON.parse('{...}')</w:t>
      </w:r>
      <w:r>
        <w:t xml:space="preserve"> </w:t>
      </w:r>
      <w:r>
        <w:t xml:space="preserve">— partij_posities dict</w:t>
      </w:r>
      <w:r>
        <w:t xml:space="preserve"> </w:t>
      </w:r>
      <w:r>
        <w:t xml:space="preserve">Vorm:</w:t>
      </w:r>
      <w:r>
        <w:t xml:space="preserve"> </w:t>
      </w:r>
      <w:r>
        <w:rPr>
          <w:rStyle w:val="VerbatimChar"/>
        </w:rPr>
        <w:t xml:space="preserve">{"PARTIJ":{"ELEMENT_CODE":{positie,intensiteit,reden,bron}, ...}, ...}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li={...}</w:t>
      </w:r>
      <w:r>
        <w:t xml:space="preserve"> </w:t>
      </w:r>
      <w:r>
        <w:t xml:space="preserve">— partij-metadata</w:t>
      </w:r>
      <w:r>
        <w:t xml:space="preserve"> </w:t>
      </w:r>
      <w:r>
        <w:t xml:space="preserve">Vorm:</w:t>
      </w:r>
      <w:r>
        <w:t xml:space="preserve"> </w:t>
      </w:r>
      <w:r>
        <w:rPr>
          <w:rStyle w:val="VerbatimChar"/>
        </w:rPr>
        <w:t xml:space="preserve">{PARTIJ:{naam,kleur,cluster,leverbaarheid,leverbaarheid_label}, ...}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fe={...}</w:t>
      </w:r>
      <w:r>
        <w:t xml:space="preserve"> </w:t>
      </w:r>
      <w:r>
        <w:t xml:space="preserve">— DRIE_ORDE_TABEL</w:t>
      </w:r>
      <w:r>
        <w:t xml:space="preserve"> </w:t>
      </w:r>
      <w:r>
        <w:t xml:space="preserve">Vorm:</w:t>
      </w:r>
      <w:r>
        <w:t xml:space="preserve"> </w:t>
      </w:r>
      <w:r>
        <w:rPr>
          <w:rStyle w:val="VerbatimChar"/>
        </w:rPr>
        <w:t xml:space="preserve">{VMP:{...}, CARB:{...}, PARTIJ:{E_tv:[o1,o2,o3],alpha,tau,phi}, ...}</w:t>
      </w:r>
    </w:p>
    <w:bookmarkEnd w:id="49"/>
    <w:bookmarkStart w:id="50" w:name="vmp-en-carb-blijven-canoniek-regel-9"/>
    <w:p>
      <w:pPr>
        <w:pStyle w:val="Heading3"/>
      </w:pPr>
      <w:r>
        <w:t xml:space="preserve">9.2 VMP en CARB blijven canoniek (regel 9)</w:t>
      </w:r>
    </w:p>
    <w:p>
      <w:pPr>
        <w:pStyle w:val="FirstParagraph"/>
      </w:pPr>
      <w:r>
        <w:t xml:space="preserve">De VMP- en CARB-referentiewaarden in</w:t>
      </w:r>
      <w:r>
        <w:t xml:space="preserve"> </w:t>
      </w:r>
      <w:r>
        <w:rPr>
          <w:rStyle w:val="VerbatimChar"/>
        </w:rPr>
        <w:t xml:space="preserve">fe=</w:t>
      </w:r>
      <w:r>
        <w:t xml:space="preserve"> </w:t>
      </w:r>
      <w:r>
        <w:t xml:space="preserve">zijn identiek voor alle 19 landen:</w:t>
      </w:r>
    </w:p>
    <w:p>
      <w:pPr>
        <w:pStyle w:val="SourceCode"/>
      </w:pPr>
      <w:r>
        <w:rPr>
          <w:rStyle w:val="NormalTok"/>
        </w:rPr>
        <w:t xml:space="preserve">VMP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</w:t>
      </w:r>
      <w:r>
        <w:rPr>
          <w:rStyle w:val="DataTypeTok"/>
        </w:rPr>
        <w:t xml:space="preserve">E_tv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.</w:t>
      </w:r>
      <w:r>
        <w:rPr>
          <w:rStyle w:val="BaseNTok"/>
        </w:rPr>
        <w:t xml:space="preserve">06</w:t>
      </w:r>
      <w:r>
        <w:rPr>
          <w:rStyle w:val="OperatorTok"/>
        </w:rPr>
        <w:t xml:space="preserve">,.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alpha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.</w:t>
      </w:r>
      <w:r>
        <w:rPr>
          <w:rStyle w:val="BaseNTok"/>
        </w:rPr>
        <w:t xml:space="preserve">003</w:t>
      </w:r>
      <w:r>
        <w:rPr>
          <w:rStyle w:val="OperatorTok"/>
        </w:rPr>
        <w:t xml:space="preserve">,.</w:t>
      </w:r>
      <w:r>
        <w:rPr>
          <w:rStyle w:val="BaseNTok"/>
        </w:rPr>
        <w:t xml:space="preserve">006</w:t>
      </w:r>
      <w:r>
        <w:rPr>
          <w:rStyle w:val="OperatorTok"/>
        </w:rPr>
        <w:t xml:space="preserve">,.</w:t>
      </w:r>
      <w:r>
        <w:rPr>
          <w:rStyle w:val="BaseNTok"/>
        </w:rPr>
        <w:t xml:space="preserve">01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tau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-.</w:t>
      </w:r>
      <w:r>
        <w:rPr>
          <w:rStyle w:val="BaseNTok"/>
        </w:rPr>
        <w:t xml:space="preserve">002</w:t>
      </w:r>
      <w:r>
        <w:rPr>
          <w:rStyle w:val="OperatorTok"/>
        </w:rPr>
        <w:t xml:space="preserve">,-.</w:t>
      </w:r>
      <w:r>
        <w:rPr>
          <w:rStyle w:val="BaseNTok"/>
        </w:rPr>
        <w:t xml:space="preserve">003</w:t>
      </w:r>
      <w:r>
        <w:rPr>
          <w:rStyle w:val="OperatorTok"/>
        </w:rPr>
        <w:t xml:space="preserve">,-.</w:t>
      </w:r>
      <w:r>
        <w:rPr>
          <w:rStyle w:val="BaseNTok"/>
        </w:rPr>
        <w:t xml:space="preserve">005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phi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.</w:t>
      </w:r>
      <w:r>
        <w:rPr>
          <w:rStyle w:val="BaseNTok"/>
        </w:rPr>
        <w:t xml:space="preserve">004</w:t>
      </w:r>
      <w:r>
        <w:rPr>
          <w:rStyle w:val="OperatorTok"/>
        </w:rPr>
        <w:t xml:space="preserve">,.</w:t>
      </w:r>
      <w:r>
        <w:rPr>
          <w:rStyle w:val="DecValTok"/>
        </w:rPr>
        <w:t xml:space="preserve">009</w:t>
      </w:r>
      <w:r>
        <w:rPr>
          <w:rStyle w:val="OperatorTok"/>
        </w:rPr>
        <w:t xml:space="preserve">,.</w:t>
      </w:r>
      <w:r>
        <w:rPr>
          <w:rStyle w:val="BaseNTok"/>
        </w:rPr>
        <w:t xml:space="preserve">015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CARB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E_tv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.</w:t>
      </w:r>
      <w:r>
        <w:rPr>
          <w:rStyle w:val="BaseNTok"/>
        </w:rPr>
        <w:t xml:space="preserve">01</w:t>
      </w:r>
      <w:r>
        <w:rPr>
          <w:rStyle w:val="OperatorTok"/>
        </w:rPr>
        <w:t xml:space="preserve">,.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,.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alpha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.</w:t>
      </w:r>
      <w:r>
        <w:rPr>
          <w:rStyle w:val="BaseNTok"/>
        </w:rPr>
        <w:t xml:space="preserve">001</w:t>
      </w:r>
      <w:r>
        <w:rPr>
          <w:rStyle w:val="OperatorTok"/>
        </w:rPr>
        <w:t xml:space="preserve">,.</w:t>
      </w:r>
      <w:r>
        <w:rPr>
          <w:rStyle w:val="BaseNTok"/>
        </w:rPr>
        <w:t xml:space="preserve">01</w:t>
      </w:r>
      <w:r>
        <w:rPr>
          <w:rStyle w:val="OperatorTok"/>
        </w:rPr>
        <w:t xml:space="preserve">,.</w:t>
      </w:r>
      <w:r>
        <w:rPr>
          <w:rStyle w:val="BaseNTok"/>
        </w:rPr>
        <w:t xml:space="preserve">04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tau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,-.</w:t>
      </w:r>
      <w:r>
        <w:rPr>
          <w:rStyle w:val="BaseNTok"/>
        </w:rPr>
        <w:t xml:space="preserve">005</w:t>
      </w:r>
      <w:r>
        <w:rPr>
          <w:rStyle w:val="OperatorTok"/>
        </w:rPr>
        <w:t xml:space="preserve">,-.</w:t>
      </w:r>
      <w:r>
        <w:rPr>
          <w:rStyle w:val="BaseNTok"/>
        </w:rPr>
        <w:t xml:space="preserve">02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phi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.</w:t>
      </w:r>
      <w:r>
        <w:rPr>
          <w:rStyle w:val="BaseNTok"/>
        </w:rPr>
        <w:t xml:space="preserve">001</w:t>
      </w:r>
      <w:r>
        <w:rPr>
          <w:rStyle w:val="OperatorTok"/>
        </w:rPr>
        <w:t xml:space="preserve">,.</w:t>
      </w:r>
      <w:r>
        <w:rPr>
          <w:rStyle w:val="BaseNTok"/>
        </w:rPr>
        <w:t xml:space="preserve">01</w:t>
      </w:r>
      <w:r>
        <w:rPr>
          <w:rStyle w:val="OperatorTok"/>
        </w:rPr>
        <w:t xml:space="preserve">,.</w:t>
      </w:r>
      <w:r>
        <w:rPr>
          <w:rStyle w:val="BaseNTok"/>
        </w:rPr>
        <w:t xml:space="preserve">04</w:t>
      </w:r>
      <w:r>
        <w:rPr>
          <w:rStyle w:val="NormalTok"/>
        </w:rPr>
        <w:t xml:space="preserve">]}</w:t>
      </w:r>
    </w:p>
    <w:bookmarkEnd w:id="50"/>
    <w:bookmarkStart w:id="51" w:name="injectie-tool"/>
    <w:p>
      <w:pPr>
        <w:pStyle w:val="Heading3"/>
      </w:pPr>
      <w:r>
        <w:t xml:space="preserve">9.3 Injectie-tool</w:t>
      </w:r>
    </w:p>
    <w:p>
      <w:pPr>
        <w:pStyle w:val="FirstParagraph"/>
      </w:pPr>
      <w:r>
        <w:t xml:space="preserve">Python-script</w:t>
      </w:r>
      <w:r>
        <w:t xml:space="preserve"> </w:t>
      </w:r>
      <w:r>
        <w:rPr>
          <w:rStyle w:val="VerbatimChar"/>
        </w:rPr>
        <w:t xml:space="preserve">/home/user/workspace/inject_v4_data.py</w:t>
      </w:r>
      <w:r>
        <w:t xml:space="preserve"> </w:t>
      </w:r>
      <w:r>
        <w:t xml:space="preserve">handhaaft de injectie voor alle 7 nieuwe landen op basis van</w:t>
      </w:r>
      <w:r>
        <w:t xml:space="preserve"> </w:t>
      </w:r>
      <w:r>
        <w:rPr>
          <w:rStyle w:val="VerbatimChar"/>
        </w:rPr>
        <w:t xml:space="preserve">nieuwe_landen/{CODE}_norm.json</w:t>
      </w:r>
      <w:r>
        <w:t xml:space="preserve">.</w:t>
      </w:r>
    </w:p>
    <w:p>
      <w:pPr>
        <w:pStyle w:val="BodyText"/>
      </w:pPr>
      <w:r>
        <w:t xml:space="preserve">Uitvoerlijn per land:</w:t>
      </w:r>
    </w:p>
    <w:p>
      <w:pPr>
        <w:pStyle w:val="SourceCode"/>
      </w:pPr>
      <w:r>
        <w:rPr>
          <w:rStyle w:val="VerbatimChar"/>
        </w:rPr>
        <w:t xml:space="preserve">{CODE}: injected [ci, pi, li, fe] — 130 elementen, 9 partijen, 11 orde-entries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deploy-procedure-v4.1"/>
    <w:p>
      <w:pPr>
        <w:pStyle w:val="Heading2"/>
      </w:pPr>
      <w:r>
        <w:t xml:space="preserve">10. Deploy-procedure V4.1</w:t>
      </w:r>
    </w:p>
    <w:p>
      <w:pPr>
        <w:pStyle w:val="FirstParagraph"/>
      </w:pPr>
      <w:r>
        <w:t xml:space="preserve">Onveranderd t.o.v. V4: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/tmp/openvizier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user.name </w:t>
      </w:r>
      <w:r>
        <w:rPr>
          <w:rStyle w:val="StringTok"/>
        </w:rPr>
        <w:t xml:space="preserve">"Jacobus van Merksteijn"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user.email </w:t>
      </w:r>
      <w:r>
        <w:rPr>
          <w:rStyle w:val="StringTok"/>
        </w:rPr>
        <w:t xml:space="preserve">"jacobus@openvizier.org"</w:t>
      </w:r>
      <w:r>
        <w:br/>
      </w:r>
      <w:r>
        <w:br/>
      </w:r>
      <w:r>
        <w:rPr>
          <w:rStyle w:val="CommentTok"/>
        </w:rPr>
        <w:t xml:space="preserve"># Bump cache-versies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{code}/gevolgenkaart-app/sw.js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"s/-v0.N/-v0.N+1/g"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"v0.N+1: &lt;beschrijving&gt;"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  </w:t>
      </w:r>
      <w:r>
        <w:rPr>
          <w:rStyle w:val="CommentTok"/>
        </w:rPr>
        <w:t xml:space="preserve"># api_credentials=["github"]</w:t>
      </w:r>
      <w:r>
        <w:br/>
      </w:r>
      <w:r>
        <w:br/>
      </w:r>
      <w:r>
        <w:rPr>
          <w:rStyle w:val="CommentTok"/>
        </w:rPr>
        <w:t xml:space="preserve"># Wacht ~90s voor Netlify deploy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90</w:t>
      </w:r>
      <w:r>
        <w:br/>
      </w:r>
      <w:r>
        <w:br/>
      </w:r>
      <w:r>
        <w:rPr>
          <w:rStyle w:val="CommentTok"/>
        </w:rPr>
        <w:t xml:space="preserve"># Verifieer live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nl de es us kr jp tw se il ir za br cu sr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"https://openvizier.org/</w:t>
      </w:r>
      <w:r>
        <w:rPr>
          <w:rStyle w:val="VariableTok"/>
        </w:rPr>
        <w:t xml:space="preserve">${code}</w:t>
      </w:r>
      <w:r>
        <w:rPr>
          <w:rStyle w:val="StringTok"/>
        </w:rPr>
        <w:t xml:space="preserve">/gevolgenkaart-app/"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ControlFlowTok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53"/>
    <w:bookmarkStart w:id="54" w:name="versiegeschiedenis-v4-v4.1"/>
    <w:p>
      <w:pPr>
        <w:pStyle w:val="Heading2"/>
      </w:pPr>
      <w:r>
        <w:t xml:space="preserve">11. Versiegeschiedenis V4 → V4.1</w:t>
      </w:r>
    </w:p>
    <w:p>
      <w:pPr>
        <w:pStyle w:val="FirstParagraph"/>
      </w:pPr>
      <w:r>
        <w:t xml:space="preserve">Post-v3.20.24 commits (7 juli - 8 juli 2026):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Wijziging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1557c03c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juli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USA/CN/IN v0.2 — 3 nieuwe V4-apps met bron-gedragen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b3092447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juli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KR/JP/TW v0.2 — 3 nieuwe V4-apps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92ccb88c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juli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 sourcemap-refs uit alle bundles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d7c6dd39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juli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JP + TW bundle-syntax kleur-veld bug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cec8b89f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juli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FIX v0.2: NEPK_BUNDEL_PARTIJEN + OPTIMAAL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590710e9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juli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historische aanloop NEPK/NTPK per land per jaar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0aeb5cad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juli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v3: NEPK herberekend met openvizier-definitie (canoniek)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240b43cc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juli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HOTFIX peildatum</w:t>
            </w:r>
            <w:r>
              <w:t xml:space="preserve"> </w:t>
            </w:r>
            <w:r>
              <w:t xml:space="preserve">“</w:t>
            </w:r>
            <w:r>
              <w:t xml:space="preserve">2026-07-07-v3</w:t>
            </w:r>
            <w:r>
              <w:t xml:space="preserve">”</w:t>
            </w:r>
            <w:r>
              <w:t xml:space="preserve"> </w:t>
            </w:r>
            <w:r>
              <w:t xml:space="preserve">was ongeldig → 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44debf5f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juli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VMP/CARB clip-buiten-grafiek → path-break + circle-filter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f6aa2fd2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juli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Grote opruim: 47 vertalingen (25 EN + 22 DE) via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4e7fce22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juli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Europa opnieuw: manifest gepubliceerd NL/EN/DE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c12581ca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juli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 de grot naar de zon: Plato-Copernicus-7D manifest NL/EN/DE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2fab6cdf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juli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Volledige vertaling per menu-taal: app-labels + naam + prefix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f29de4f8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juli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Volledige vertaling DE (Deutschland) + EN (US/EU): app-inhoud in landstaal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7ae7a1c1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juli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 nieuwe gevolgenkaart-apps</w:t>
            </w:r>
            <w:r>
              <w:t xml:space="preserve">: SE/IL/IR/ZA/BR/CU/SR</w:t>
            </w:r>
          </w:p>
        </w:tc>
      </w:tr>
    </w:tbl>
    <w:p>
      <w:pPr>
        <w:pStyle w:val="BodyText"/>
      </w:pPr>
      <w:r>
        <w:rPr>
          <w:b/>
          <w:bCs/>
        </w:rPr>
        <w:t xml:space="preserve">Huidige staat V4.1:</w:t>
      </w:r>
      <w:r>
        <w:t xml:space="preserve"> </w:t>
      </w:r>
      <w:r>
        <w:t xml:space="preserve">18 land-apps volledig deployed + Malta (bestaand) = 19 apps. NEPK-factoren en historische reeksen zijn per land canoniek. Volledige V4.1-injectie voor SE/IL/IR/ZA/BR/CU/SR staat op de rol (deze regelbestand-update).</w:t>
      </w:r>
    </w:p>
    <w:p>
      <w:r>
        <w:pict>
          <v:rect style="width:0;height:1.5pt" o:hralign="center" o:hrstd="t" o:hr="t"/>
        </w:pict>
      </w:r>
    </w:p>
    <w:bookmarkEnd w:id="54"/>
    <w:bookmarkStart w:id="55" w:name="constanten-v4.1"/>
    <w:p>
      <w:pPr>
        <w:pStyle w:val="Heading2"/>
      </w:pPr>
      <w:r>
        <w:t xml:space="preserve">12. Constanten (V4.1)</w:t>
      </w:r>
    </w:p>
    <w:p>
      <w:pPr>
        <w:pStyle w:val="FirstParagraph"/>
      </w:pPr>
      <w:r>
        <w:t xml:space="preserve">Ongewijzigd t.o.v. V4, met deze extra: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Waarde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Toepassing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maxY</w:t>
            </w:r>
            <w:r>
              <w:t xml:space="preserve"> </w:t>
            </w:r>
            <w:r>
              <w:t xml:space="preserve">(grafiek)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Y-as bovengrens (voor VMP/CARB clip-detectie)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minY</w:t>
            </w:r>
            <w:r>
              <w:t xml:space="preserve"> </w:t>
            </w:r>
            <w:r>
              <w:t xml:space="preserve">(grafiek)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Y-as ondergrens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Path-break bij</w:t>
            </w:r>
            <w:r>
              <w:t xml:space="preserve"> </w:t>
            </w:r>
            <w:r>
              <w:rPr>
                <w:rStyle w:val="VerbatimChar"/>
              </w:rPr>
              <w:t xml:space="preserve">.buiten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(skip) →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bij eerstvolgende zichtbare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V4.1-fix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Circle-marker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E%3===0 &amp;&amp; !P(index[E]).buiten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V4.1-fix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peildatum</w:t>
            </w:r>
            <w:r>
              <w:t xml:space="preserve"> </w:t>
            </w:r>
            <w:r>
              <w:t xml:space="preserve">bundel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"YYYY-MM-DD"</w:t>
            </w:r>
            <w:r>
              <w:t xml:space="preserve"> </w:t>
            </w:r>
            <w:r>
              <w:t xml:space="preserve">(strikt ISO)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V4.1-regel na NaN-bug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Menu-talen aantal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menu-pagina 19 land-tegels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Land-apps totaal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(18 nieuw + Malta)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V4.1 uitbreiding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werkstroom-regels-v4.1"/>
    <w:p>
      <w:pPr>
        <w:pStyle w:val="Heading2"/>
      </w:pPr>
      <w:r>
        <w:t xml:space="preserve">13. Werkstroom-regels V4.1</w:t>
      </w:r>
    </w:p>
    <w:p>
      <w:pPr>
        <w:pStyle w:val="FirstParagraph"/>
      </w:pPr>
      <w:r>
        <w:t xml:space="preserve">Deze regels binden elke toekomstige subagent en elke wijziging: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Communicatie: Nederlands.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Verifieer eerst, bouw dan pas</w:t>
      </w:r>
      <w:r>
        <w:t xml:space="preserve"> </w:t>
      </w:r>
      <w:r>
        <w:t xml:space="preserve">— inclusief V4.1-regel dat definitie-verschillen tussen bronnen expliciet onderzocht moeten worden (bv. FATS vs. breed eigendomsconcept voor φ).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Nooit zelf correctiewaarden invoeren.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VMP-scoring bevroren per land</w:t>
      </w:r>
      <w:r>
        <w:t xml:space="preserve"> </w:t>
      </w:r>
      <w:r>
        <w:t xml:space="preserve">— 130-140 posities per land onaangetast na eerste herijking.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NTPK-koppeling voor inkomen.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VMP/CARB blijven referentie-modellen</w:t>
      </w:r>
      <w:r>
        <w:t xml:space="preserve"> </w:t>
      </w:r>
      <w:r>
        <w:t xml:space="preserve">— geen keuze-opties.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Bundel + broncode parallel patchen</w:t>
      </w:r>
      <w:r>
        <w:t xml:space="preserve"> </w:t>
      </w:r>
      <w:r>
        <w:t xml:space="preserve">(geen build-server bij user).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Commit-messages in het Nederlands.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Openvizier-NEPK-definitie is canoniek</w:t>
      </w:r>
      <w:r>
        <w:t xml:space="preserve"> </w:t>
      </w:r>
      <w:r>
        <w:t xml:space="preserve">— alle factor-metingen aan artikel toetsen.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Peildatum altijd valide ISO-datum.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Alle grafieken clippen niet zichtbaar</w:t>
      </w:r>
      <w:r>
        <w:t xml:space="preserve"> </w:t>
      </w:r>
      <w:r>
        <w:t xml:space="preserve">— buiten-punten worden onzichtbaar via M-break.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Alle 19 apps blijven congruent</w:t>
      </w:r>
      <w:r>
        <w:t xml:space="preserve"> </w:t>
      </w:r>
      <w:r>
        <w:t xml:space="preserve">— dezelfde motor, dezelfde structuur, alleen data verschilt per land.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UI-taal = doeltaal van bezoeker</w:t>
      </w:r>
      <w:r>
        <w:t xml:space="preserve"> </w:t>
      </w:r>
      <w:r>
        <w:t xml:space="preserve">— geen NL-string in DE/EN/etc.-bundle.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Nieuwe landen krijgen volledige V4.1-injectie</w:t>
      </w:r>
      <w:r>
        <w:t xml:space="preserve">: ci, pi, li, fe — geen KR-restjes.</w:t>
      </w:r>
    </w:p>
    <w:p>
      <w:r>
        <w:pict>
          <v:rect style="width:0;height:1.5pt" o:hralign="center" o:hrstd="t" o:hr="t"/>
        </w:pict>
      </w:r>
    </w:p>
    <w:bookmarkEnd w:id="56"/>
    <w:bookmarkStart w:id="57" w:name="bronnen-v4.1"/>
    <w:p>
      <w:pPr>
        <w:pStyle w:val="Heading2"/>
      </w:pPr>
      <w:r>
        <w:t xml:space="preserve">14. Bronnen (V4.1)</w:t>
      </w:r>
    </w:p>
    <w:p>
      <w:pPr>
        <w:pStyle w:val="FirstParagraph"/>
      </w:pPr>
      <w:r>
        <w:t xml:space="preserve">Nieuwe bronnen sinds V4: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openvizier.org NEPK-Klimaatlogica</w:t>
      </w:r>
      <w:r>
        <w:t xml:space="preserve"> </w:t>
      </w:r>
      <w:r>
        <w:t xml:space="preserve">(Editie 2) — canonieke NEPK-definitie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World Bank export/BBP-data</w:t>
      </w:r>
      <w:r>
        <w:t xml:space="preserve"> </w:t>
      </w:r>
      <w:r>
        <w:t xml:space="preserve">per land (2024)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OECD Revenue Statistics</w:t>
      </w:r>
      <w:r>
        <w:t xml:space="preserve"> </w:t>
      </w:r>
      <w:r>
        <w:t xml:space="preserve">per land (tax-to-GDP)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UNCTAD FDI-stock</w:t>
      </w:r>
      <w:r>
        <w:t xml:space="preserve"> </w:t>
      </w:r>
      <w:r>
        <w:t xml:space="preserve">per land (voor φ-meting)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IMF Article IV</w:t>
      </w:r>
      <w:r>
        <w:t xml:space="preserve"> </w:t>
      </w:r>
      <w:r>
        <w:t xml:space="preserve">per land (2024-2026)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Chapel Hill Expert Survey 2024</w:t>
      </w:r>
      <w:r>
        <w:t xml:space="preserve"> </w:t>
      </w:r>
      <w:r>
        <w:t xml:space="preserve">(CHES) voor politieke-as-kleuren per land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National statistical bureaus</w:t>
      </w:r>
      <w:r>
        <w:t xml:space="preserve"> </w:t>
      </w:r>
      <w:r>
        <w:t xml:space="preserve">per land: CBS, Destatis, BFS, INE, Eurostat, BEA, NBS, RBI, BOK, KOSTAT, e-Stat, DGBAS, SCB, CBC, SARS, IBGE, ABS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Einde regelbestand V4.1 — multi-landen editie, 8 juli 2026.</w:t>
      </w:r>
      <w:r>
        <w:t xml:space="preserve"> </w:t>
      </w:r>
      <w:r>
        <w:rPr>
          <w:i/>
          <w:iCs/>
        </w:rPr>
        <w:t xml:space="preserve">Volgende sessie: V4.1-injectie DRIE_ORDE + partij_posities + elementen + partij-metadata voor SE/IL/IR/ZA/BR/CU/SR.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openvizier.org/nl/editie-2/nepk-klimaatlogic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openvizier.org/nl/editie-2/nepk-klimaatlogic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2026-07-08T17:54:19Z</dcterms:created>
  <dcterms:modified xsi:type="dcterms:W3CDTF">2026-07-08T17:54:19Z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