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nova-democratia-pareto-per-actor"/>
    <w:p>
      <w:pPr>
        <w:pStyle w:val="Heading2"/>
      </w:pPr>
      <w:r>
        <w:t xml:space="preserve">09 — NOVA DEMOCRATIA · PARETO PER ACTOR</w:t>
      </w:r>
    </w:p>
    <w:p>
      <w:pPr>
        <w:pStyle w:val="FirstParagraph"/>
      </w:pPr>
      <w:r>
        <w:rPr>
          <w:i/>
          <w:iCs/>
        </w:rPr>
        <w:t xml:space="preserve">Niet alleen Tweede Kamerfracties tellen mee. Bonden en bedrijvenkoepels bepalen even sterk welke fase haalbaar is — en op welke fase Nova Democratia natuurlijke bondgenoten vindt.</w:t>
      </w:r>
    </w:p>
    <w:p>
      <w:pPr>
        <w:pStyle w:val="BodyText"/>
      </w:pPr>
      <w:r>
        <w:rPr>
          <w:b/>
          <w:bCs/>
        </w:rPr>
        <w:t xml:space="preserve">Tegenstanders, bondgenoten, en de werkelijke krachtsverhouding</w:t>
      </w:r>
    </w:p>
    <w:p>
      <w:pPr>
        <w:pStyle w:val="BodyText"/>
      </w:pPr>
      <w:r>
        <w:t xml:space="preserve">De Pareto‐analyse uit aflevering drie behandelde tegenstand als een lijst van losse blokken: Brussel, bonden, partijen, ambtelijke top. Bruikbaar voor strategie, maar onvolledig. Wat ontbrak, was een tweede kolom: bondgenoten. Wie helpt mee — en bij welke fase? Pas wanneer beide kolommen naast elkaar staan, ontstaat het werkelijke krachtenveld.</w:t>
      </w:r>
    </w:p>
    <w:p>
      <w:pPr>
        <w:pStyle w:val="BodyText"/>
      </w:pPr>
      <w:r>
        <w:t xml:space="preserve">Deze aflevering plot zesentwintig actoren op zes Nova‐Democratia‐fases. Vijftien Tweede Kamerfracties, zes vakbonden en koepels, en vijf bedrijvenkoepels — inclusief het in deze krant voorgestelde UEI, de Europese tegenmacht uit Zwitserland. Iedere cel krijgt een score van min tien tot plus tien. Rood is verzet. Groen is steun. De balk rechts geeft het totaalsaldo: hoe een actor zich over alle fases verhoudt tot Nova Democratia.</w:t>
      </w:r>
    </w:p>
    <w:p>
      <w:pPr>
        <w:pStyle w:val="BodyText"/>
      </w:pPr>
      <w:r>
        <w:rPr>
          <w:b/>
          <w:bCs/>
        </w:rPr>
        <w:t xml:space="preserve">De heatmap</w:t>
      </w:r>
    </w:p>
    <w:p>
      <w:pPr>
        <w:pStyle w:val="BodyText"/>
      </w:pPr>
    </w:p>
    <w:p>
      <w:pPr>
        <w:pStyle w:val="BodyText"/>
      </w:pPr>
      <w:r>
        <w:rPr>
          <w:b/>
          <w:bCs/>
        </w:rPr>
        <w:t xml:space="preserve">Drie krachtsblokken, drie verhalen</w:t>
      </w:r>
    </w:p>
    <w:p>
      <w:pPr>
        <w:pStyle w:val="BodyText"/>
      </w:pPr>
      <w:r>
        <w:rPr>
          <w:b/>
          <w:bCs/>
        </w:rPr>
        <w:t xml:space="preserve">Fracties — verspreid verzet, hoog gemiddeld</w:t>
      </w:r>
    </w:p>
    <w:p>
      <w:pPr>
        <w:pStyle w:val="BodyText"/>
      </w:pPr>
      <w:r>
        <w:t xml:space="preserve">Vijftien fracties, vijftien totalen tussen plus twintig en plus tweeenveertig. Er is geen Tweede Kamerfractie die Nova Democratia per saldo steunt. Dat klinkt dramatisch maar is logisch: alle fracties opereren binnen het bestaande bestel en hebben er bestaansrecht in. De zwaarste tegenstanders zijn GroenLinks‐PvdA (plus tweeënveertig), SP (plus achtendertig) en de VVD (plus zevenendertig). Het lichtst is BBB met plus eenentwintig, dichtgevolgd door NSC en D66‐delen.</w:t>
      </w:r>
    </w:p>
    <w:p>
      <w:pPr>
        <w:pStyle w:val="BodyText"/>
      </w:pPr>
      <w:r>
        <w:t xml:space="preserve">Wat opvalt is niet de hoogte, maar de plek waar het verzet zit. GroenLinks‐PvdA scoort negen op Balkenende‐norm en KPI (fase twee) — het kerngebied van de pakketdeal met de bonden. VVD scoort acht op fase twee plus zeven op burgerberaden (fase drie); zij beschermen het bestaande bestel met het ambtenarensalaris als kernpunt. SP zit hoog op fase twee en op het onderwijs (fase vijf), dichtbij de bonden.</w:t>
      </w:r>
    </w:p>
    <w:p>
      <w:pPr>
        <w:pStyle w:val="BodyText"/>
      </w:pPr>
      <w:r>
        <w:rPr>
          <w:b/>
          <w:bCs/>
        </w:rPr>
        <w:t xml:space="preserve">Bonden — geconcentreerd verzet op kernfases</w:t>
      </w:r>
    </w:p>
    <w:p>
      <w:pPr>
        <w:pStyle w:val="BodyText"/>
      </w:pPr>
      <w:r>
        <w:t xml:space="preserve">Hier wordt de Pareto‐analyse uit aflevering drie cijfermatig bevestigd. FNV algemeen scoort tien op fase twee. FNV Overheid scoort acht op fase een en tien op fase twee. AOb en VO/PO‐raad scoren tien en negen op fase vijf, het onderwijs. NVJ scoort tien op fase een vanwege Artikel tweeendertig. Dit zijn de echte blokkades: niet over de hele linie, maar geconcentreerd op de fases die voor hen existentieel zijn.</w:t>
      </w:r>
    </w:p>
    <w:p>
      <w:pPr>
        <w:pStyle w:val="BodyText"/>
      </w:pPr>
      <w:r>
        <w:t xml:space="preserve">Dat is een belangrijk strategisch gegeven. Bonden vechten alleen daar waar zij hun bestaansgrond verdedigen. Op fases die hen niet raken — grondwet, Brussel, sunset — scoren zij twee of drie. De pakketdeal werkt precies omdat zij niet overal mee hoeven instemmen, alleen op hun kerngebied.</w:t>
      </w:r>
    </w:p>
    <w:p>
      <w:pPr>
        <w:pStyle w:val="BodyText"/>
      </w:pPr>
      <w:r>
        <w:rPr>
          <w:b/>
          <w:bCs/>
        </w:rPr>
        <w:t xml:space="preserve">Bedrijven — de bondgenoten die nog niet wisten dat ze het waren</w:t>
      </w:r>
    </w:p>
    <w:p>
      <w:pPr>
        <w:pStyle w:val="BodyText"/>
      </w:pPr>
      <w:r>
        <w:t xml:space="preserve">Hier komt de verrassing. VNO‐NCW saldo min vierentwintig. MKB‐Nederland min drieentwintig. UEI als voorstel min vijfentwintig. Drie bedrijvenkoepels samen leveren een tegengewicht van min tweeenzeventig punten — bijna twee FNV’s geneutraliseerd. Op fase nul (Brussel), fase twee (KPI en afschaffing Balkenende‐norm) en fase vier (sunsetwetten) staan zij niet alleen niet in de weg, zij duwen mee.</w:t>
      </w:r>
    </w:p>
    <w:p>
      <w:pPr>
        <w:pStyle w:val="BodyText"/>
      </w:pPr>
      <w:r>
        <w:t xml:space="preserve">De reden is institutioneel. Bedrijven hebben er belang bij dat ambtenaren competent zijn, dat regels evalueerbaar zijn, dat het ondernemingsklimaat niet onder Brussel‐overcomplexiteit bezwijkt. De Balkenende‐norm verlamt juist het type ambtenaar dat zij nodig hebben voor goede uitvoering. Sunsetwetten betekenen voor hen minder regeldruk in de tijd. Brussel‐classificatie betekent minder onverwachte regelgeving. Bedrijven zijn pro‐Nova Democratia op exact die fases waar de Pareto het zwaarst is.</w:t>
      </w:r>
    </w:p>
    <w:p>
      <w:pPr>
        <w:pStyle w:val="BlockText"/>
      </w:pPr>
      <w:r>
        <w:rPr>
          <w:i/>
          <w:iCs/>
        </w:rPr>
        <w:t xml:space="preserve">Drie bedrijvenkoepels leveren een tegengewicht van min tweeenzeventig punten — bijna twee FNV’s geneutraliseerd.</w:t>
      </w:r>
    </w:p>
    <w:p>
      <w:pPr>
        <w:pStyle w:val="FirstParagraph"/>
      </w:pPr>
      <w:r>
        <w:rPr>
          <w:b/>
          <w:bCs/>
        </w:rPr>
        <w:t xml:space="preserve">Wat de heatmap voor de strategie betekent</w:t>
      </w:r>
    </w:p>
    <w:p>
      <w:pPr>
        <w:pStyle w:val="BodyText"/>
      </w:pPr>
      <w:r>
        <w:t xml:space="preserve">Drie operationele implicaties springen eruit. Ten eerste: de Pareto‐analyse uit aflevering drie was te pessimistisch. Met bedrijven als gewogen bondgenoten daalt de netto blokkademacht over alle fases met circa een derde, zonder één inhoudelijk argument gewisseld. De top‐twaalf van tegenstanders zit nog steeds op duizenden punten, maar de tegenkracht is structureel zwaarder dan eerder gedacht.</w:t>
      </w:r>
    </w:p>
    <w:p>
      <w:pPr>
        <w:pStyle w:val="BodyText"/>
      </w:pPr>
      <w:r>
        <w:t xml:space="preserve">Ten tweede: de pakketdeal met de bonden uit aflevering drie wordt sterker als er een tegelijktijdige deal met de werkgevers ligt. SER en Stichting van de Arbeid zijn precies de instituties waar deze twee partijen elkaar al treffen. Een nationaal akkoord Modernisering Publieke Sector kan worden vormgegeven als driehoeksdeal: kabinet, vakbonden, werkgevers. Dat is institutioneel niet nieuw — het is wat in de polder al decennia gebeurt. Wat nieuw is, is dat het kabinet en de werkgevers nu beide aan de Nova‐Democratia‐zijde zitten en de bonden aan de tegenovergestelde zijde.</w:t>
      </w:r>
    </w:p>
    <w:p>
      <w:pPr>
        <w:pStyle w:val="BodyText"/>
      </w:pPr>
      <w:r>
        <w:t xml:space="preserve">Ten derde: UEI is een wisseling van speelveld. Op fase nul scoort UEI als enige actor min acht — actief duwen tegen Brussel, niet alleen Nova Democratia steunen. Geen bestaande Nederlandse partij of bond scoort negatief op die fase. UEI vervangt daarmee een ontbrekend stuk van het krachtenveld: een georganiseerd Europees blok dat Brussel publiek confronteert in plaats van lobbyt. Het is wat aflevering nul in concept introduceerde, nu vertaald naar een institutionele actor.</w:t>
      </w:r>
    </w:p>
    <w:p>
      <w:pPr>
        <w:pStyle w:val="BodyText"/>
      </w:pPr>
      <w:r>
        <w:rPr>
          <w:b/>
          <w:bCs/>
        </w:rPr>
        <w:t xml:space="preserve">Een waarschuwing</w:t>
      </w:r>
    </w:p>
    <w:p>
      <w:pPr>
        <w:pStyle w:val="BodyText"/>
      </w:pPr>
      <w:r>
        <w:t xml:space="preserve">De getallen in deze heatmap zijn beredeneerd, niet gemeten. De rangordes zijn robuust — GroenLinks‐PvdA scoort niet plotseling lager dan BBB — maar de exacte waarden verdienen kalibratie via gesprekken met betrokkenen, peilingen onder leden van betreffende organisaties, en analyse van historisch stemgedrag. Dit krantbeeld is een startkaart, geen geïjkt instrument.</w:t>
      </w:r>
    </w:p>
    <w:p>
      <w:pPr>
        <w:pStyle w:val="BodyText"/>
      </w:pPr>
      <w:r>
        <w:t xml:space="preserve">Toch is de structuur van het beeld te robuust om te ontkennen. Bedrijven en kabinet aan dezelfde kant, bonden op kerngebieden geconcentreerd, fracties verspreid maar consistent verzettend op constructie‐elementen. Wie zoekt naar bondgenoten voor Nova Democratia in Nederland, vindt ze niet in de Tweede Kamer — maar in de Malietoren en in Brussel.</w:t>
      </w:r>
    </w:p>
    <w:p>
      <w:pPr>
        <w:pStyle w:val="BlockText"/>
      </w:pPr>
      <w:r>
        <w:rPr>
          <w:i/>
          <w:iCs/>
        </w:rPr>
        <w:t xml:space="preserve">Wie zoekt naar bondgenoten voor Nova Democratia, vindt ze niet in de Tweede Kamer — maar in de Malietoren en in Brussel.</w:t>
      </w:r>
    </w:p>
    <w:p>
      <w:pPr>
        <w:pStyle w:val="FirstParagraph"/>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2026-06-03T01:01:47Z</dcterms:created>
  <dcterms:modified xsi:type="dcterms:W3CDTF">2026-06-03T01:01:47Z</dcterms:modified>
</cp:coreProperties>
</file>

<file path=docProps/custom.xml><?xml version="1.0" encoding="utf-8"?>
<Properties xmlns="http://schemas.openxmlformats.org/officeDocument/2006/custom-properties" xmlns:vt="http://schemas.openxmlformats.org/officeDocument/2006/docPropsVTypes"/>
</file>