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de-institutionele-voorwaarde"/>
    <w:p>
      <w:pPr>
        <w:pStyle w:val="Heading2"/>
      </w:pPr>
      <w:r>
        <w:t xml:space="preserve">07 — De institutionele voorwaarde</w:t>
      </w:r>
    </w:p>
    <w:p>
      <w:pPr>
        <w:pStyle w:val="FirstParagraph"/>
      </w:pPr>
      <w:r>
        <w:rPr>
          <w:i/>
          <w:iCs/>
        </w:rPr>
        <w:t xml:space="preserve">Hoe een Europese economische bondsraad binnen één politieke cyclus de twee hefbomen van papier naar staal kan brengen.</w:t>
      </w:r>
    </w:p>
    <w:p>
      <w:pPr>
        <w:pStyle w:val="BodyText"/>
      </w:pPr>
      <w:r>
        <w:rPr>
          <w:b/>
          <w:bCs/>
        </w:rPr>
        <w:t xml:space="preserve">Wat deze aflevering behandelt</w:t>
      </w:r>
    </w:p>
    <w:p>
      <w:pPr>
        <w:pStyle w:val="Compact"/>
        <w:numPr>
          <w:ilvl w:val="0"/>
          <w:numId w:val="1001"/>
        </w:numPr>
      </w:pPr>
      <w:r>
        <w:t xml:space="preserve">De ontwerp-eisen van een Europese economische bondsraad — vijf tot zeven leden, vaste meerjarige termijnen, eerste-orde-meting (productiviteit, CO₂, energie-autonomie) als bindend kader.</w:t>
      </w:r>
    </w:p>
    <w:p>
      <w:pPr>
        <w:pStyle w:val="Compact"/>
        <w:numPr>
          <w:ilvl w:val="0"/>
          <w:numId w:val="1001"/>
        </w:numPr>
      </w:pPr>
      <w:r>
        <w:t xml:space="preserve">De wijziging van drie richtlijnen in één pakket: Landfill Directive (om plastic-burial mogelijk te maken als koolstofopslag), Waste Framework Directive (om huisvuilverbranding te degraderen tot laatste optie), RED III (om Juncao-ethanol versneld als hernieuwbaar te erkennen).</w:t>
      </w:r>
    </w:p>
    <w:p>
      <w:pPr>
        <w:pStyle w:val="Compact"/>
        <w:numPr>
          <w:ilvl w:val="0"/>
          <w:numId w:val="1001"/>
        </w:numPr>
      </w:pPr>
      <w:r>
        <w:t xml:space="preserve">Het politieke spel: welke commissarissen, welke parlementaire fracties, welke nationale regeringen de eerste beweging kunnen maken.</w:t>
      </w:r>
    </w:p>
    <w:p>
      <w:pPr>
        <w:pStyle w:val="Compact"/>
        <w:numPr>
          <w:ilvl w:val="0"/>
          <w:numId w:val="1001"/>
        </w:numPr>
      </w:pPr>
      <w:r>
        <w:t xml:space="preserve">De rol van de kennislaag (TNO, Fraunhofer, CNRS, ETH, KNAW, planbureaus) als onafhankelijke eerste-orde-meetinstantie — buiten de poldergeest om.</w:t>
      </w:r>
    </w:p>
    <w:p>
      <w:pPr>
        <w:pStyle w:val="Compact"/>
        <w:numPr>
          <w:ilvl w:val="0"/>
          <w:numId w:val="1001"/>
        </w:numPr>
      </w:pPr>
      <w:r>
        <w:t xml:space="preserve">Het tegenargument behandelen: koloniaal verleden, mensenrechten in productieketens, milieueffecten van transport. Niet wegredeneren maar structureel beantwoorden binnen het ontwerp.</w:t>
      </w:r>
    </w:p>
    <w:p>
      <w:pPr>
        <w:pStyle w:val="Compact"/>
        <w:numPr>
          <w:ilvl w:val="0"/>
          <w:numId w:val="1001"/>
        </w:numPr>
      </w:pPr>
      <w:r>
        <w:t xml:space="preserve">Het draaiboek: vijf jaar van besluit tot operationele drie pilots, daarna acht jaar uitrol naar volledige Europese capaciteit, daarna netto-negatieve uitstoot.</w:t>
      </w:r>
    </w:p>
    <w:p>
      <w:pPr>
        <w:pStyle w:val="Compact"/>
        <w:numPr>
          <w:ilvl w:val="0"/>
          <w:numId w:val="1001"/>
        </w:numPr>
      </w:pPr>
      <w:r>
        <w:t xml:space="preserve">De afsluitende keuze die Europa nu maakt: poldergeest of gemeten besluit. Tekening op de muur, of installatie in Brazilië en Nigeria.</w:t>
      </w:r>
    </w:p>
    <w:p>
      <w:pPr>
        <w:pStyle w:val="FirstParagraph"/>
      </w:pPr>
      <w:r>
        <w:rPr>
          <w:b/>
          <w:bCs/>
        </w:rPr>
        <w:t xml:space="preserve">De persstrategie als institutioneel instrument</w:t>
      </w:r>
    </w:p>
    <w:p>
      <w:pPr>
        <w:pStyle w:val="BodyText"/>
      </w:pPr>
      <w:r>
        <w:t xml:space="preserve">Een Europese economische bondsraad heeft één instrument dat geen enkele Commissie tot nu toe heeft ingezet: de maandelijkse publicatie van zes pagina’s gemeten feiten over de hefbomen, in vorm en taal die door brede pers kan worden overgenomen. Aflevering 8 beschrijft het mechanisme. Hier de institutionele verankering: de Bondsraad krijgt een eigen persdienst van vijftien tot twintig mensen — chemisch ingenieurs, journalisten, datavisualisatoren, oud-redacteuren — die niet PR doen maar feitenleveranciers zijn. Hun output is publiek, controleerbaar door de kennislaag (TNO, Fraunhofer, CNRS, planbureaus), en wordt elke maand verspreid naar dertig serieuze Europese kranten. Dit kost ongeveer drie miljoen euro per jaar — minder dan één procent van wat de huidige EU-communicatieafdelingen uitgeven aan brochures die niemand leest. Het effect: binnen drie jaar zijn Giant Juncao, BiCRS en plastic-opslag in dagbouwen bekende termen voor elke geletterde Europese burger. Binnen vijf jaar hebben de vakbonden zichzelf gecorrigeerd. Binnen acht jaar draaien de drie pilots commercieel.</w:t>
      </w:r>
    </w:p>
    <w:p>
      <w:pPr>
        <w:pStyle w:val="BodyText"/>
      </w:pPr>
      <w:r>
        <w:rPr>
          <w:b/>
          <w:bCs/>
        </w:rPr>
        <w:t xml:space="preserve">De leerfunctie van de publieke omroep</w:t>
      </w:r>
    </w:p>
    <w:p>
      <w:pPr>
        <w:pStyle w:val="BodyText"/>
      </w:pPr>
      <w:r>
        <w:t xml:space="preserve">Naast de persdienst van de Bondsraad bestaat er een tweede institutioneel instrument dat vandaag onderbenut wordt: de grondwettelijke leerfunctie van de publieke omroepen — NPO in Nederland, ARD/ZDF in Duitsland, BBC in het Verenigd Koninkrijk, Radio France in Frankrijk. Deze omroepen hebben een wettelijke educatieve verplichting waarvan zij vandaag minder dan tien procent benutten. De Bondsraad geeft jaarlijks vier of vijf thema’s mee voor pedagogische programmering; de omroepen behouden volledige redactionele vrijheid. Aflevering 9 werkt dit mechanisme volledig uit — niet als propaganda maar als hervinding van een al bestaande publieke functie. Het effect: gedeelde welvaartsgroei van de twee hefbomen wordt zichtbaar voor de bevolking, en de tegenstand bij vakbonden, gemeenten en politieke partijen verdwijnt niet door druk maar door erkenning van eigen belang.</w:t>
      </w:r>
    </w:p>
    <w:p>
      <w:pPr>
        <w:pStyle w:val="BodyText"/>
      </w:pPr>
      <w:r>
        <w:rPr>
          <w:i/>
          <w:iCs/>
        </w:rPr>
        <w:t xml:space="preserve">Deze aflevering wordt nog uitgewerkt met het stappenplan van besluit tot operationele uitvoering en de modelregelgeving die de drie richtlijnen vervangt.</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2026-06-03T05:51:39Z</dcterms:created>
  <dcterms:modified xsi:type="dcterms:W3CDTF">2026-06-03T05:51:39Z</dcterms:modified>
</cp:coreProperties>
</file>

<file path=docProps/custom.xml><?xml version="1.0" encoding="utf-8"?>
<Properties xmlns="http://schemas.openxmlformats.org/officeDocument/2006/custom-properties" xmlns:vt="http://schemas.openxmlformats.org/officeDocument/2006/docPropsVTypes"/>
</file>