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ie-beiden-hebel-gemeinsam"/>
    <w:p>
      <w:pPr>
        <w:pStyle w:val="Heading2"/>
      </w:pPr>
      <w:r>
        <w:t xml:space="preserve">00 — Die beiden Hebel gemeinsam</w:t>
      </w:r>
    </w:p>
    <w:p>
      <w:pPr>
        <w:pStyle w:val="FirstParagraph"/>
      </w:pPr>
      <w:r>
        <w:rPr>
          <w:i/>
          <w:iCs/>
        </w:rPr>
        <w:t xml:space="preserve">Ein kurzer technischer Fahrplan dessen, was in dieser Ausgabe folgt. Die Produktionsachse (Giant Juncao + BiCRS) und die Speicherungsachse (Kunststoff aus Hausmüll in Tagebauen), betrachtet als ein einziges industrielles Design.</w:t>
      </w:r>
    </w:p>
    <w:p>
      <w:pPr>
        <w:pStyle w:val="BodyText"/>
      </w:pPr>
      <w:r>
        <w:t xml:space="preserve">Dieser Auftakt legt die Logik fest, welche die folgenden sechs Folgen technisch ausarbeiten. Zwei Hebel, ein Ziel, eine administrative Voraussetzung.</w:t>
      </w:r>
    </w:p>
    <w:p>
      <w:pPr>
        <w:pStyle w:val="BodyText"/>
      </w:pPr>
      <w:r>
        <w:rPr>
          <w:b/>
          <w:bCs/>
        </w:rPr>
        <w:t xml:space="preserve">Die Zahlen, die diese Ausgabe tragen</w:t>
      </w:r>
    </w:p>
    <w:p>
      <w:pPr>
        <w:pStyle w:val="Compact"/>
        <w:numPr>
          <w:ilvl w:val="0"/>
          <w:numId w:val="1001"/>
        </w:numPr>
      </w:pPr>
      <w:r>
        <w:t xml:space="preserve">Giant Juncao: 300–450 Tonnen grüne Biomasse pro Hektar und Jahr regulär, Rekord von 853 Tonnen in Papua-Neuguinea — drei- bis zehnmal produktiver als Zuckerrohr oder Rutenhirse.</w:t>
      </w:r>
    </w:p>
    <w:p>
      <w:pPr>
        <w:pStyle w:val="Compact"/>
        <w:numPr>
          <w:ilvl w:val="0"/>
          <w:numId w:val="1001"/>
        </w:numPr>
      </w:pPr>
      <w:r>
        <w:t xml:space="preserve">Kunststoff im Hausmüll: durchschnittlich 78 % Kohlenstoff, 70 % der CO₂-Emissionen aus Müllverbrennungsanlagen — 35 Megatonnen pro Jahr in Europa, unmittelbar vermeidbar.</w:t>
      </w:r>
    </w:p>
    <w:p>
      <w:pPr>
        <w:pStyle w:val="Compact"/>
        <w:numPr>
          <w:ilvl w:val="0"/>
          <w:numId w:val="1001"/>
        </w:numPr>
      </w:pPr>
      <w:r>
        <w:t xml:space="preserve">Deutsches Tagebau-Volumen: Garzweiler (~zwei Milliarden m³) + Hambach (~zweieinhalb Milliarden m³) + Inden + Welzow-Süd = hunderte Jahre Speicherkapazität für europäische Kunststoffströme.</w:t>
      </w:r>
    </w:p>
    <w:p>
      <w:pPr>
        <w:pStyle w:val="Compact"/>
        <w:numPr>
          <w:ilvl w:val="0"/>
          <w:numId w:val="1001"/>
        </w:numPr>
      </w:pPr>
      <w:r>
        <w:t xml:space="preserve">Zeitfenster: drei bis fünf Jahre, bevor die chinesische geografische Dominanz auf den Giant Juncao-Feldern unumkehrbar wird.</w:t>
      </w:r>
    </w:p>
    <w:p>
      <w:pPr>
        <w:pStyle w:val="Compact"/>
        <w:numPr>
          <w:ilvl w:val="0"/>
          <w:numId w:val="1001"/>
        </w:numPr>
      </w:pPr>
      <w:r>
        <w:t xml:space="preserve">Resultat bei Synergie: Europa von +3,4 GtCO₂/Jahr (aktuell) auf Netto-Null innerhalb von zehn Jahren, danach netto negativ.</w:t>
      </w:r>
    </w:p>
    <w:p>
      <w:pPr>
        <w:pStyle w:val="FirstParagraph"/>
      </w:pPr>
      <w:r>
        <w:rPr>
          <w:i/>
          <w:iCs/>
        </w:rPr>
        <w:t xml:space="preserve">Diese Folge wird noch mit dem vollständigen technischen Fahrplan und dem vollständigen Diagramm beider Hebel ausgearbeitet.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2026-06-03T18:37:26Z</dcterms:created>
  <dcterms:modified xsi:type="dcterms:W3CDTF">2026-06-03T18:37:26Z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