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two-levers-together"/>
    <w:p>
      <w:pPr>
        <w:pStyle w:val="Heading2"/>
      </w:pPr>
      <w:r>
        <w:t xml:space="preserve">00 — The two levers together</w:t>
      </w:r>
    </w:p>
    <w:p>
      <w:pPr>
        <w:pStyle w:val="FirstParagraph"/>
      </w:pPr>
      <w:r>
        <w:rPr>
          <w:i/>
          <w:iCs/>
        </w:rPr>
        <w:t xml:space="preserve">A concise technical roadmap of what follows in this edition. The production axis (Giant Juncao + BiCRS) and the storage axis (plastic from household waste in open-cast mines) viewed together as a single industrial design.</w:t>
      </w:r>
    </w:p>
    <w:p>
      <w:pPr>
        <w:pStyle w:val="BodyText"/>
      </w:pPr>
      <w:r>
        <w:t xml:space="preserve">This opening establishes the logic that the subsequent six instalments elaborate upon technically. Two levers, one objective, one administrative prerequisite.</w:t>
      </w:r>
    </w:p>
    <w:p>
      <w:pPr>
        <w:pStyle w:val="BodyText"/>
      </w:pPr>
      <w:r>
        <w:rPr>
          <w:b/>
          <w:bCs/>
        </w:rPr>
        <w:t xml:space="preserve">The figures underpinning this edition</w:t>
      </w:r>
    </w:p>
    <w:p>
      <w:pPr>
        <w:pStyle w:val="Compact"/>
        <w:numPr>
          <w:ilvl w:val="0"/>
          <w:numId w:val="1001"/>
        </w:numPr>
      </w:pPr>
      <w:r>
        <w:t xml:space="preserve">Giant Juncao: 300–450 tonnes of green biomass per hectare per year routinely, with a record of 853 tonnes in Papua New Guinea — three to ten times more productive than sugar cane or switchgrass.</w:t>
      </w:r>
    </w:p>
    <w:p>
      <w:pPr>
        <w:pStyle w:val="Compact"/>
        <w:numPr>
          <w:ilvl w:val="0"/>
          <w:numId w:val="1001"/>
        </w:numPr>
      </w:pPr>
      <w:r>
        <w:t xml:space="preserve">Plastic in household waste: 78% carbon on average, 70% of waste incineration CO₂ emissions — 35 megatonnes/year in Europe, directly avoidable.</w:t>
      </w:r>
    </w:p>
    <w:p>
      <w:pPr>
        <w:pStyle w:val="Compact"/>
        <w:numPr>
          <w:ilvl w:val="0"/>
          <w:numId w:val="1001"/>
        </w:numPr>
      </w:pPr>
      <w:r>
        <w:t xml:space="preserve">German open-cast mine volume: Garzweiler (~2 billion m³) + Hambach (~2.5 billion m³) + Inden + Welzow-Süd = hundreds of years of European plastic stream storage.</w:t>
      </w:r>
    </w:p>
    <w:p>
      <w:pPr>
        <w:pStyle w:val="Compact"/>
        <w:numPr>
          <w:ilvl w:val="0"/>
          <w:numId w:val="1001"/>
        </w:numPr>
      </w:pPr>
      <w:r>
        <w:t xml:space="preserve">Time window: 3–5 years before Chinese geographical dominance in Giant Juncao fields becomes irreversible.</w:t>
      </w:r>
    </w:p>
    <w:p>
      <w:pPr>
        <w:pStyle w:val="Compact"/>
        <w:numPr>
          <w:ilvl w:val="0"/>
          <w:numId w:val="1001"/>
        </w:numPr>
      </w:pPr>
      <w:r>
        <w:t xml:space="preserve">Result of synergy: Europe from +3.4 GtCO₂/year (current) to net zero within ten years, subsequently net negative.</w:t>
      </w:r>
    </w:p>
    <w:p>
      <w:pPr>
        <w:pStyle w:val="FirstParagraph"/>
      </w:pPr>
      <w:r>
        <w:rPr>
          <w:i/>
          <w:iCs/>
        </w:rPr>
        <w:t xml:space="preserve">This instalment is currently being further developed with the complete technical roadmap and the full diagram of both levers.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2026-06-03T18:37:28Z</dcterms:created>
  <dcterms:modified xsi:type="dcterms:W3CDTF">2026-06-03T18:37:28Z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