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два-рычага-воедино"/>
    <w:p>
      <w:pPr>
        <w:pStyle w:val="Heading2"/>
      </w:pPr>
      <w:r>
        <w:t xml:space="preserve">00 — Два рычага воедино</w:t>
      </w:r>
    </w:p>
    <w:p>
      <w:pPr>
        <w:pStyle w:val="FirstParagraph"/>
      </w:pPr>
      <w:r>
        <w:rPr>
          <w:i/>
          <w:iCs/>
        </w:rPr>
        <w:t xml:space="preserve">Краткая техническая дорожная карта того, что последует в этом выпуске. Ось производства (Giant Juncao + BiCRS) и ось хранения (пластик из бытовых отходов в угольных разрезах), рассматриваемые как единый промышленный проект.</w:t>
      </w:r>
    </w:p>
    <w:p>
      <w:pPr>
        <w:pStyle w:val="BodyText"/>
      </w:pPr>
      <w:r>
        <w:t xml:space="preserve">Это вступление закрепляет логику, которую технически прорабатывают следующие шесть выпусков. Два рычага, одна цель, одно управленческое условие.</w:t>
      </w:r>
    </w:p>
    <w:p>
      <w:pPr>
        <w:pStyle w:val="BodyText"/>
      </w:pPr>
      <w:r>
        <w:rPr>
          <w:b/>
          <w:bCs/>
        </w:rPr>
        <w:t xml:space="preserve">Цифры, на которых зиждется этот выпуск</w:t>
      </w:r>
    </w:p>
    <w:p>
      <w:pPr>
        <w:pStyle w:val="Compact"/>
        <w:numPr>
          <w:ilvl w:val="0"/>
          <w:numId w:val="1001"/>
        </w:numPr>
      </w:pPr>
      <w:r>
        <w:t xml:space="preserve">Giant Juncao: от трехсот до четырехсот пятидесяти тонн зеленой биомассы на гектар в год в обычном режиме, рекорд восемьсот пятьдесят три тонны в Papoea-Nieuw-Guinea — в три-десять раз продуктивнее, чем сахарный тростник или свитчграсс.</w:t>
      </w:r>
    </w:p>
    <w:p>
      <w:pPr>
        <w:pStyle w:val="Compact"/>
        <w:numPr>
          <w:ilvl w:val="0"/>
          <w:numId w:val="1001"/>
        </w:numPr>
      </w:pPr>
      <w:r>
        <w:t xml:space="preserve">Пластик в бытовых отходах: в среднем семьдесят восемь процентов углерода, семьдесят процентов выбросов CO₂ мусоросжигательных заводов — тридцать пять мегатонн в год в Европе, которые можно избежать немедленно.</w:t>
      </w:r>
    </w:p>
    <w:p>
      <w:pPr>
        <w:pStyle w:val="Compact"/>
        <w:numPr>
          <w:ilvl w:val="0"/>
          <w:numId w:val="1001"/>
        </w:numPr>
      </w:pPr>
      <w:r>
        <w:t xml:space="preserve">Объем немецких угольных разрезов: Garzweiler (около двух миллиардов кубических метров) + Hambach (около двух с половиной миллиардов кубических метров) + Inden + Welzow-Süd = сотни лет хранения европейских потоков пластика.</w:t>
      </w:r>
    </w:p>
    <w:p>
      <w:pPr>
        <w:pStyle w:val="Compact"/>
        <w:numPr>
          <w:ilvl w:val="0"/>
          <w:numId w:val="1001"/>
        </w:numPr>
      </w:pPr>
      <w:r>
        <w:t xml:space="preserve">Временное окно: от трех до пяти лет, прежде чем географическое доминирование Китая на полях Giant Juncao станет необратимым.</w:t>
      </w:r>
    </w:p>
    <w:p>
      <w:pPr>
        <w:pStyle w:val="Compact"/>
        <w:numPr>
          <w:ilvl w:val="0"/>
          <w:numId w:val="1001"/>
        </w:numPr>
      </w:pPr>
      <w:r>
        <w:t xml:space="preserve">Результат при синергии: переход Европы от плюс трех целых четырех десятых гигатонн CO₂ в год (в настоящее время) к чистому нулю в течение десяти лет, а затем к чистому отрицательному показателю.</w:t>
      </w:r>
    </w:p>
    <w:p>
      <w:pPr>
        <w:pStyle w:val="FirstParagraph"/>
      </w:pPr>
      <w:r>
        <w:rPr>
          <w:i/>
          <w:iCs/>
        </w:rPr>
        <w:t xml:space="preserve">Этот выпуск всё еще находится в стадии разработки вместе с полной технической дорожной картой и исчерпывающей диаграммой обоих рычагов.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2026-06-03T18:37:29Z</dcterms:created>
  <dcterms:modified xsi:type="dcterms:W3CDTF">2026-06-03T18:37:29Z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