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ant-juncao-das-gewächs"/>
    <w:p>
      <w:pPr>
        <w:pStyle w:val="Heading2"/>
      </w:pPr>
      <w:r>
        <w:t xml:space="preserve">01 — Giant Juncao: das Gewächs</w:t>
      </w:r>
    </w:p>
    <w:p>
      <w:pPr>
        <w:pStyle w:val="FirstParagraph"/>
      </w:pPr>
      <w:r>
        <w:rPr>
          <w:i/>
          <w:iCs/>
        </w:rPr>
        <w:t xml:space="preserve">Das C4-Grasgewächs, welches Zuckerrohr und Mais kommerziell obsolet macht — Biologie, Ertragskurven, Evolution durch Züchtung.</w:t>
      </w:r>
    </w:p>
    <w:p>
      <w:pPr>
        <w:pStyle w:val="BodyText"/>
      </w:pPr>
      <w:r>
        <w:rPr>
          <w:b/>
          <w:bCs/>
        </w:rPr>
        <w:t xml:space="preserve">Was diese Folge behandelt</w:t>
      </w:r>
    </w:p>
    <w:p>
      <w:pPr>
        <w:pStyle w:val="Compact"/>
        <w:numPr>
          <w:ilvl w:val="0"/>
          <w:numId w:val="1001"/>
        </w:numPr>
      </w:pPr>
      <w:r>
        <w:t xml:space="preserve">Die Biologie von</w:t>
      </w:r>
      <w:r>
        <w:t xml:space="preserve"> </w:t>
      </w:r>
      <w:r>
        <w:rPr>
          <w:i/>
          <w:iCs/>
        </w:rPr>
        <w:t xml:space="preserve">Pennisetum giganteum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P. americanum</w:t>
      </w:r>
      <w:r>
        <w:t xml:space="preserve">: C4-Photosynthese, perennierendes Wachstum, ein Wurzelsystem, das salzhaltige und alkalische Böden toleriert.</w:t>
      </w:r>
    </w:p>
    <w:p>
      <w:pPr>
        <w:pStyle w:val="Compact"/>
        <w:numPr>
          <w:ilvl w:val="0"/>
          <w:numId w:val="1001"/>
        </w:numPr>
      </w:pPr>
      <w:r>
        <w:t xml:space="preserve">Produktivität in Zahlen: KwaZulu-Natal-Daten, der Rekord aus Papua-Neuguinea, Vergleich mit Rutenhirse, Miscanthus und Zuckerrohr.</w:t>
      </w:r>
    </w:p>
    <w:p>
      <w:pPr>
        <w:pStyle w:val="Compact"/>
        <w:numPr>
          <w:ilvl w:val="0"/>
          <w:numId w:val="1001"/>
        </w:numPr>
      </w:pPr>
      <w:r>
        <w:t xml:space="preserve">Die Entwicklungsgeschichte: Professor Lin Zhanxi, Fujian Agriculture and Forestry University, Stabilisierung als Hybride im Jahr 2002.</w:t>
      </w:r>
    </w:p>
    <w:p>
      <w:pPr>
        <w:pStyle w:val="Compact"/>
        <w:numPr>
          <w:ilvl w:val="0"/>
          <w:numId w:val="1001"/>
        </w:numPr>
      </w:pPr>
      <w:r>
        <w:t xml:space="preserve">Das Zeitfenster: Wie chinesische Konsortien das Gewächs seit 2010 nach Papua-Neuguinea, Fidschi, in die Zentralafrikanische Republik und nach Simbabwe exportieren.</w:t>
      </w:r>
    </w:p>
    <w:p>
      <w:pPr>
        <w:pStyle w:val="Compact"/>
        <w:numPr>
          <w:ilvl w:val="0"/>
          <w:numId w:val="1001"/>
        </w:numPr>
      </w:pPr>
      <w:r>
        <w:t xml:space="preserve">Züchtungspotenzial: Wie Mais durch 70 Jahre Züchtung von 4 auf 11 Tonnen Körner pro Hektar anstieg und was dies für Juncao in den kommenden 10–20 Jahren impliziert.</w:t>
      </w:r>
    </w:p>
    <w:p>
      <w:pPr>
        <w:pStyle w:val="Compact"/>
        <w:numPr>
          <w:ilvl w:val="0"/>
          <w:numId w:val="1001"/>
        </w:numPr>
      </w:pPr>
      <w:r>
        <w:t xml:space="preserve">CRISPR-Präzision, wo erforderlich: höherer Trockenmasseanteil, niedrigerer Ligningehalt für die Cellulose-Konversion, Frostresistenz zur Ausdehnung in gemäßigte Zonen.</w:t>
      </w:r>
    </w:p>
    <w:p>
      <w:pPr>
        <w:pStyle w:val="FirstParagraph"/>
      </w:pPr>
      <w:r>
        <w:rPr>
          <w:i/>
          <w:iCs/>
        </w:rPr>
        <w:t xml:space="preserve">Diese Folge wird noch mit Feldfotos, Ertragskurven und den europäischen Züchtungsinstituten (Wageningen, INRAE, ETH Zürich, KU Leuven) ausgearbeitet, die diese Evolution beschleunigen können.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2026-06-03T18:37:26Z</dcterms:created>
  <dcterms:modified xsi:type="dcterms:W3CDTF">2026-06-03T18:37:26Z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