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ant-juncao-the-crop"/>
    <w:p>
      <w:pPr>
        <w:pStyle w:val="Heading2"/>
      </w:pPr>
      <w:r>
        <w:t xml:space="preserve">01 — Giant Juncao: the crop</w:t>
      </w:r>
    </w:p>
    <w:p>
      <w:pPr>
        <w:pStyle w:val="FirstParagraph"/>
      </w:pPr>
      <w:r>
        <w:rPr>
          <w:i/>
          <w:iCs/>
        </w:rPr>
        <w:t xml:space="preserve">The C4 grass crop that renders sugarcane and maize commercially obsolete — biology, yield curves, evolution through breeding.</w:t>
      </w:r>
    </w:p>
    <w:p>
      <w:pPr>
        <w:pStyle w:val="BodyText"/>
      </w:pPr>
      <w:r>
        <w:rPr>
          <w:b/>
          <w:bCs/>
        </w:rPr>
        <w:t xml:space="preserve">What this instalment covers</w:t>
      </w:r>
    </w:p>
    <w:p>
      <w:pPr>
        <w:pStyle w:val="Compact"/>
        <w:numPr>
          <w:ilvl w:val="0"/>
          <w:numId w:val="1001"/>
        </w:numPr>
      </w:pPr>
      <w:r>
        <w:t xml:space="preserve">The biology of</w:t>
      </w:r>
      <w:r>
        <w:t xml:space="preserve"> </w:t>
      </w:r>
      <w:r>
        <w:rPr>
          <w:i/>
          <w:iCs/>
        </w:rPr>
        <w:t xml:space="preserve">Pennisetum giganteum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P. americanum</w:t>
      </w:r>
      <w:r>
        <w:t xml:space="preserve">: C4 photosynthesis, perennial growth, a root system that tolerates saline and alkaline soils.</w:t>
      </w:r>
    </w:p>
    <w:p>
      <w:pPr>
        <w:pStyle w:val="Compact"/>
        <w:numPr>
          <w:ilvl w:val="0"/>
          <w:numId w:val="1001"/>
        </w:numPr>
      </w:pPr>
      <w:r>
        <w:t xml:space="preserve">Productivity in figures: KwaZulu-Natal data, the Papoea-Nieuw-Guinea record, comparisons with switchgrass, miscanthus, and sugarcane.</w:t>
      </w:r>
    </w:p>
    <w:p>
      <w:pPr>
        <w:pStyle w:val="Compact"/>
        <w:numPr>
          <w:ilvl w:val="0"/>
          <w:numId w:val="1001"/>
        </w:numPr>
      </w:pPr>
      <w:r>
        <w:t xml:space="preserve">The developmental history: Professor Lin Zhanxi, Fujian Agriculture and Forestry University, stabilisation as a hybrid in 2002.</w:t>
      </w:r>
    </w:p>
    <w:p>
      <w:pPr>
        <w:pStyle w:val="Compact"/>
        <w:numPr>
          <w:ilvl w:val="0"/>
          <w:numId w:val="1001"/>
        </w:numPr>
      </w:pPr>
      <w:r>
        <w:t xml:space="preserve">The time window: how Chinese consortia have been exporting the crop since 2010 to Papoea-Nieuw-Guinea, Fiji, Centraal-Afrikaanse Republiek and Zimbabwe.</w:t>
      </w:r>
    </w:p>
    <w:p>
      <w:pPr>
        <w:pStyle w:val="Compact"/>
        <w:numPr>
          <w:ilvl w:val="0"/>
          <w:numId w:val="1001"/>
        </w:numPr>
      </w:pPr>
      <w:r>
        <w:t xml:space="preserve">Breeding potential: how maize went from 4 to 11 tonnes of grain per hectare through 70 years of breeding, and what that implies for Juncao in the coming 10–20 years.</w:t>
      </w:r>
    </w:p>
    <w:p>
      <w:pPr>
        <w:pStyle w:val="Compact"/>
        <w:numPr>
          <w:ilvl w:val="0"/>
          <w:numId w:val="1001"/>
        </w:numPr>
      </w:pPr>
      <w:r>
        <w:t xml:space="preserve">CRISPR precision where necessary: higher dry matter fraction, lower lignin content for cellulose conversion, frost resistance for expansion into temperate zones.</w:t>
      </w:r>
    </w:p>
    <w:p>
      <w:pPr>
        <w:pStyle w:val="FirstParagraph"/>
      </w:pPr>
      <w:r>
        <w:rPr>
          <w:i/>
          <w:iCs/>
        </w:rPr>
        <w:t xml:space="preserve">This instalment is being further developed with field photographs, yield curves, and the European breeding institutes (Wageningen, INRAE, ETH Zürich, KU Leuven) that can accelerate this evolution.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2026-06-03T18:37:28Z</dcterms:created>
  <dcterms:modified xsi:type="dcterms:W3CDTF">2026-06-03T18:37:28Z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