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icrs-und-biokraftstoffe-die-chemie"/>
    <w:p>
      <w:pPr>
        <w:pStyle w:val="Heading2"/>
      </w:pPr>
      <w:r>
        <w:t xml:space="preserve">02 — BiCRS und Biokraftstoffe: Die Chemie</w:t>
      </w:r>
    </w:p>
    <w:p>
      <w:pPr>
        <w:pStyle w:val="FirstParagraph"/>
      </w:pPr>
      <w:r>
        <w:rPr>
          <w:i/>
          <w:iCs/>
        </w:rPr>
        <w:t xml:space="preserve">Die chemischen Pfade von Biomass Carbon Removal and Storage, verknüpft mit der Produktion von Bioethanol und Biomethanol.</w:t>
      </w:r>
    </w:p>
    <w:p>
      <w:pPr>
        <w:pStyle w:val="BodyText"/>
      </w:pPr>
      <w:r>
        <w:rPr>
          <w:b/>
          <w:bCs/>
        </w:rPr>
        <w:t xml:space="preserve">Was dieser Beitrag behandelt</w:t>
      </w:r>
    </w:p>
    <w:p>
      <w:pPr>
        <w:pStyle w:val="Compact"/>
        <w:numPr>
          <w:ilvl w:val="0"/>
          <w:numId w:val="1001"/>
        </w:numPr>
      </w:pPr>
      <w:r>
        <w:t xml:space="preserve">BiCRS — Biomass Carbon Removal and Storage — als Kategorie innerhalb der vom IPCC anerkannten Technologien für negative Emissionen.</w:t>
      </w:r>
    </w:p>
    <w:p>
      <w:pPr>
        <w:pStyle w:val="Compact"/>
        <w:numPr>
          <w:ilvl w:val="0"/>
          <w:numId w:val="1001"/>
        </w:numPr>
      </w:pPr>
      <w:r>
        <w:t xml:space="preserve">Drei Pfade für Juncao-Biomasse: direkte Vergasung und CO₂-Injektion in geologische Speicher, Biomass-to-Liquids mit CO₂-Abscheidung sowie Fermentation zu Ethanol mit Abscheidung des Fermentations-CO₂.</w:t>
      </w:r>
    </w:p>
    <w:p>
      <w:pPr>
        <w:pStyle w:val="Compact"/>
        <w:numPr>
          <w:ilvl w:val="0"/>
          <w:numId w:val="1001"/>
        </w:numPr>
      </w:pPr>
      <w:r>
        <w:t xml:space="preserve">Biomethanol über den Synthesegas-Pfad: höhere Energiedichte, geeignet für die Schifffahrt und die Luftfahrt.</w:t>
      </w:r>
    </w:p>
    <w:p>
      <w:pPr>
        <w:pStyle w:val="Compact"/>
        <w:numPr>
          <w:ilvl w:val="0"/>
          <w:numId w:val="1001"/>
        </w:numPr>
      </w:pPr>
      <w:r>
        <w:t xml:space="preserve">Kostenkurven: aktuelle LCOE von BiCRS-Pfaden im Vergleich zu Erdgas, Kerosin und Methanol aus Erdgas.</w:t>
      </w:r>
    </w:p>
    <w:p>
      <w:pPr>
        <w:pStyle w:val="Compact"/>
        <w:numPr>
          <w:ilvl w:val="0"/>
          <w:numId w:val="1001"/>
        </w:numPr>
      </w:pPr>
      <w:r>
        <w:t xml:space="preserve">Die Rolle der europäischen Chemie-Fakultäten und der Verfahrenstechnik: TU Delft, Aachen, Stuttgart, Lyon — wegweisende Publikationen, die niemals in reale Anlagen übersetzt werden.</w:t>
      </w:r>
    </w:p>
    <w:p>
      <w:pPr>
        <w:pStyle w:val="Compact"/>
        <w:numPr>
          <w:ilvl w:val="0"/>
          <w:numId w:val="1001"/>
        </w:numPr>
      </w:pPr>
      <w:r>
        <w:t xml:space="preserve">Der asiatische Vorsprung: chinesische Konsortien, welche diese Pfade im kleineren Maßstab kommerziell anwenden und die Wissensrendite aus dem Kreise von Lin Zhanxi ausschöpfen.</w:t>
      </w:r>
    </w:p>
    <w:p>
      <w:pPr>
        <w:pStyle w:val="FirstParagraph"/>
      </w:pPr>
      <w:r>
        <w:rPr>
          <w:i/>
          <w:iCs/>
        </w:rPr>
        <w:t xml:space="preserve">Dieser Beitrag wird noch mit Prozessdiagrammen, Energiebilanzen pro Tonne Biomasse sowie den drei verschiedenen Endprodukten, die in Europa direkten Absatz finden, weiter ausgearbeitet.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2026-06-03T18:37:26Z</dcterms:created>
  <dcterms:modified xsi:type="dcterms:W3CDTF">2026-06-03T18:37:26Z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