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icrs-и-биотопливо-химия"/>
    <w:p>
      <w:pPr>
        <w:pStyle w:val="Heading2"/>
      </w:pPr>
      <w:r>
        <w:t xml:space="preserve">02 — BiCRS и биотопливо: химия</w:t>
      </w:r>
    </w:p>
    <w:p>
      <w:pPr>
        <w:pStyle w:val="FirstParagraph"/>
      </w:pPr>
      <w:r>
        <w:rPr>
          <w:i/>
          <w:iCs/>
        </w:rPr>
        <w:t xml:space="preserve">Химические пути удаления и хранения углерода биомассы, сопряженные с производством биоэтанола и биометанола.</w:t>
      </w:r>
    </w:p>
    <w:p>
      <w:pPr>
        <w:pStyle w:val="BodyText"/>
      </w:pPr>
      <w:r>
        <w:rPr>
          <w:b/>
          <w:bCs/>
        </w:rPr>
        <w:t xml:space="preserve">О чем повествует этот выпуск</w:t>
      </w:r>
    </w:p>
    <w:p>
      <w:pPr>
        <w:pStyle w:val="Compact"/>
        <w:numPr>
          <w:ilvl w:val="0"/>
          <w:numId w:val="1001"/>
        </w:numPr>
      </w:pPr>
      <w:r>
        <w:t xml:space="preserve">BiCRS — biomass carbon removal and storage — как категория в рамках признанных IPCC технологий с отрицательным уровнем выбросов.</w:t>
      </w:r>
    </w:p>
    <w:p>
      <w:pPr>
        <w:pStyle w:val="Compact"/>
        <w:numPr>
          <w:ilvl w:val="0"/>
          <w:numId w:val="1001"/>
        </w:numPr>
      </w:pPr>
      <w:r>
        <w:t xml:space="preserve">Три пути для биомассы Juncao: прямая газификация и инъекция CO₂ в геологические хранилища, biomass-to-liquids с улавливанием CO₂, и ферментация в этанол с улавливанием CO₂ брожения.</w:t>
      </w:r>
    </w:p>
    <w:p>
      <w:pPr>
        <w:pStyle w:val="Compact"/>
        <w:numPr>
          <w:ilvl w:val="0"/>
          <w:numId w:val="1001"/>
        </w:numPr>
      </w:pPr>
      <w:r>
        <w:t xml:space="preserve">Биометанол через путь синтез-газа: более высокая плотность энергии, подходящая для судоходства и авиации.</w:t>
      </w:r>
    </w:p>
    <w:p>
      <w:pPr>
        <w:pStyle w:val="Compact"/>
        <w:numPr>
          <w:ilvl w:val="0"/>
          <w:numId w:val="1001"/>
        </w:numPr>
      </w:pPr>
      <w:r>
        <w:t xml:space="preserve">Кривые затрат: текущая LCOE путей BiCRS в сравнении с природным газом, керосином и метанолом из природного газа.</w:t>
      </w:r>
    </w:p>
    <w:p>
      <w:pPr>
        <w:pStyle w:val="Compact"/>
        <w:numPr>
          <w:ilvl w:val="0"/>
          <w:numId w:val="1001"/>
        </w:numPr>
      </w:pPr>
      <w:r>
        <w:t xml:space="preserve">Роль европейских химических факультетов и технологий производственных процессов: TU Delft, Aachen, Stuttgart, Lyon — ведущие публикации, которые, к сожалению, так и не находят воплощения в действующих установках.</w:t>
      </w:r>
    </w:p>
    <w:p>
      <w:pPr>
        <w:pStyle w:val="Compact"/>
        <w:numPr>
          <w:ilvl w:val="0"/>
          <w:numId w:val="1001"/>
        </w:numPr>
      </w:pPr>
      <w:r>
        <w:t xml:space="preserve">Азиатское преимущество: китайские консорциумы, которые применяют эти пути в коммерческих целях на малых масштабах и эксплуатируют научную отдачу круга Lin Zhanxi.</w:t>
      </w:r>
    </w:p>
    <w:p>
      <w:pPr>
        <w:pStyle w:val="FirstParagraph"/>
      </w:pPr>
      <w:r>
        <w:rPr>
          <w:i/>
          <w:iCs/>
        </w:rPr>
        <w:t xml:space="preserve">Этот выпуск дополняется технологическими схемами, энергетическими балансами на тонну биомассы и описанием трех различных конечных продуктов, которые находят прямой сбыт в Европе.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2026-06-03T18:37:29Z</dcterms:created>
  <dcterms:modified xsi:type="dcterms:W3CDTF">2026-06-03T18:37:29Z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