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28cf339ca93801efeb3c97435ab90588d629ed"/>
    <w:p>
      <w:pPr>
        <w:pStyle w:val="Heading2"/>
      </w:pPr>
      <w:r>
        <w:t xml:space="preserve">03 — Hausmüllverbrennung: Der Strom mit den höchsten verborgenen Kosten</w:t>
      </w:r>
    </w:p>
    <w:p>
      <w:pPr>
        <w:pStyle w:val="FirstParagraph"/>
      </w:pPr>
      <w:r>
        <w:rPr>
          <w:i/>
          <w:iCs/>
        </w:rPr>
        <w:t xml:space="preserve">Wie die europäischen Abfallverbrennungsanlagen zu den Stromerzeugern mit den höchsten verborgenen Kosten des Kontinents wurden, getarnt als nachhaltige Energie.</w:t>
      </w:r>
    </w:p>
    <w:p>
      <w:pPr>
        <w:pStyle w:val="BodyText"/>
      </w:pPr>
      <w:r>
        <w:rPr>
          <w:b/>
          <w:bCs/>
        </w:rPr>
        <w:t xml:space="preserve">Was diese Episode behandelt</w:t>
      </w:r>
    </w:p>
    <w:p>
      <w:pPr>
        <w:pStyle w:val="Compact"/>
        <w:numPr>
          <w:ilvl w:val="0"/>
          <w:numId w:val="1001"/>
        </w:numPr>
      </w:pPr>
      <w:r>
        <w:t xml:space="preserve">Die tatsächlichen Emissionen: 2,5–2,9 Tonnen CO₂ pro Tonne verbrannten Kunststoffs (GAIA, Energy Justice, EPA eGRID).</w:t>
      </w:r>
    </w:p>
    <w:p>
      <w:pPr>
        <w:pStyle w:val="Compact"/>
        <w:numPr>
          <w:ilvl w:val="0"/>
          <w:numId w:val="1001"/>
        </w:numPr>
      </w:pPr>
      <w:r>
        <w:t xml:space="preserve">Pro kWh: Abfallverbrennungsanlagen stoßen 2,5× mehr CO₂ aus als ein Kohlekraftwerk und 4–5× mehr als ein Erdgaskraftwerk.</w:t>
      </w:r>
    </w:p>
    <w:p>
      <w:pPr>
        <w:pStyle w:val="Compact"/>
        <w:numPr>
          <w:ilvl w:val="0"/>
          <w:numId w:val="1001"/>
        </w:numPr>
      </w:pPr>
      <w:r>
        <w:t xml:space="preserve">Kunststoffanteil im Hausmüll: 12–15% der Masse, liefert jedoch ~80% des Brennwertes und verursacht ~70% der CO₂-Emissionen.</w:t>
      </w:r>
    </w:p>
    <w:p>
      <w:pPr>
        <w:pStyle w:val="Compact"/>
        <w:numPr>
          <w:ilvl w:val="0"/>
          <w:numId w:val="1001"/>
        </w:numPr>
      </w:pPr>
      <w:r>
        <w:t xml:space="preserve">Die rechtliche Konstruktion, die dies ermöglicht: Landfill Directive 1999/31/EG, Waste Framework Directive 2008/98/EG, RED III.</w:t>
      </w:r>
    </w:p>
    <w:p>
      <w:pPr>
        <w:pStyle w:val="Compact"/>
        <w:numPr>
          <w:ilvl w:val="0"/>
          <w:numId w:val="1001"/>
        </w:numPr>
      </w:pPr>
      <w:r>
        <w:t xml:space="preserve">Die europäischen Zahlen: ~50 Megatonnen CO₂/Jahr aus Abfallverbrennungsanlagen, wovon ~35 Megatonnen auf den Kunststoffanteil entfallen.</w:t>
      </w:r>
    </w:p>
    <w:p>
      <w:pPr>
        <w:pStyle w:val="Compact"/>
        <w:numPr>
          <w:ilvl w:val="0"/>
          <w:numId w:val="1001"/>
        </w:numPr>
      </w:pPr>
      <w:r>
        <w:t xml:space="preserve">Warum dies ein Dogma bleibt: „unverzichtbar“ für die Hygiene, Volumenreduzierung, Fernwärme und EU-Richtlinienkonformität.</w:t>
      </w:r>
    </w:p>
    <w:p>
      <w:pPr>
        <w:pStyle w:val="FirstParagraph"/>
      </w:pPr>
      <w:r>
        <w:rPr>
          <w:i/>
          <w:iCs/>
        </w:rPr>
        <w:t xml:space="preserve">Diese Episode wird noch mit den Anlagendaten der größten europäischen Abfallverbrennungsanlagen (AEB Amsterdam, MVA Rothensee, Spittelau Wenen) und der ökonometrischen Berechnung des tatsächlichen kWh-CO₂-Verhältnisses pro Anlage ausgearbeitet.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2026-06-03T18:37:26Z</dcterms:created>
  <dcterms:modified xsi:type="dcterms:W3CDTF">2026-06-03T18:37:26Z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