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0ba113997f998a63b33ffdc53cc7042218205f"/>
    <w:p>
      <w:pPr>
        <w:pStyle w:val="Heading2"/>
      </w:pPr>
      <w:r>
        <w:t xml:space="preserve">03 — Household Waste Incineration: The Power with the Highest Hidden Costs</w:t>
      </w:r>
    </w:p>
    <w:p>
      <w:pPr>
        <w:pStyle w:val="FirstParagraph"/>
      </w:pPr>
      <w:r>
        <w:rPr>
          <w:i/>
          <w:iCs/>
        </w:rPr>
        <w:t xml:space="preserve">How European waste incineration plants have become disguised as sustainable energy sources, whilst remaining the power generators with the highest hidden costs on the continent.</w:t>
      </w:r>
    </w:p>
    <w:p>
      <w:pPr>
        <w:pStyle w:val="BodyText"/>
      </w:pPr>
      <w:r>
        <w:rPr>
          <w:b/>
          <w:bCs/>
        </w:rPr>
        <w:t xml:space="preserve">What this episode covers</w:t>
      </w:r>
    </w:p>
    <w:p>
      <w:pPr>
        <w:pStyle w:val="Compact"/>
        <w:numPr>
          <w:ilvl w:val="0"/>
          <w:numId w:val="1001"/>
        </w:numPr>
      </w:pPr>
      <w:r>
        <w:t xml:space="preserve">The actual emissions: 2.5–2.9 tonnes of CO₂ per tonne of plastic incinerated (GAIA, Energy Justice, EPA eGRID).</w:t>
      </w:r>
    </w:p>
    <w:p>
      <w:pPr>
        <w:pStyle w:val="Compact"/>
        <w:numPr>
          <w:ilvl w:val="0"/>
          <w:numId w:val="1001"/>
        </w:numPr>
      </w:pPr>
      <w:r>
        <w:t xml:space="preserve">Per kWh: WIPs emit 2.5 times more CO₂ than a coal-fired power station and 4–5 times more than a natural gas power station.</w:t>
      </w:r>
    </w:p>
    <w:p>
      <w:pPr>
        <w:pStyle w:val="Compact"/>
        <w:numPr>
          <w:ilvl w:val="0"/>
          <w:numId w:val="1001"/>
        </w:numPr>
      </w:pPr>
      <w:r>
        <w:t xml:space="preserve">The plastic fraction in household waste: 12–15% by mass, yet providing ~80% of the calorific value and ~70% of the CO₂ emissions.</w:t>
      </w:r>
    </w:p>
    <w:p>
      <w:pPr>
        <w:pStyle w:val="Compact"/>
        <w:numPr>
          <w:ilvl w:val="0"/>
          <w:numId w:val="1001"/>
        </w:numPr>
      </w:pPr>
      <w:r>
        <w:t xml:space="preserve">The legal construct facilitating this: Landfill Directive 1999/31/EG, Waste Framework Directive 2008/98/EG, RED III.</w:t>
      </w:r>
    </w:p>
    <w:p>
      <w:pPr>
        <w:pStyle w:val="Compact"/>
        <w:numPr>
          <w:ilvl w:val="0"/>
          <w:numId w:val="1001"/>
        </w:numPr>
      </w:pPr>
      <w:r>
        <w:t xml:space="preserve">The European figures: ~50 megatonnes of CO₂/year from WIPs, of which ~35 megatonnes originate from the plastic fraction.</w:t>
      </w:r>
    </w:p>
    <w:p>
      <w:pPr>
        <w:pStyle w:val="Compact"/>
        <w:numPr>
          <w:ilvl w:val="0"/>
          <w:numId w:val="1001"/>
        </w:numPr>
      </w:pPr>
      <w:r>
        <w:t xml:space="preserve">Why this remains a dogma:</w:t>
      </w:r>
      <w:r>
        <w:t xml:space="preserve"> </w:t>
      </w:r>
      <w:r>
        <w:t xml:space="preserve">‘</w:t>
      </w:r>
      <w:r>
        <w:t xml:space="preserve">indispensable</w:t>
      </w:r>
      <w:r>
        <w:t xml:space="preserve">’</w:t>
      </w:r>
      <w:r>
        <w:t xml:space="preserve"> </w:t>
      </w:r>
      <w:r>
        <w:t xml:space="preserve">for hygiene, volume reduction, district heating, and compliance with EU directives.</w:t>
      </w:r>
    </w:p>
    <w:p>
      <w:pPr>
        <w:pStyle w:val="FirstParagraph"/>
      </w:pPr>
      <w:r>
        <w:rPr>
          <w:i/>
          <w:iCs/>
        </w:rPr>
        <w:t xml:space="preserve">This episode is still being elaborated with the installation data of the largest European WIPs (AEB Amsterdam, MVA Rothensee, Spittelau Wenen) and the econometric calculation of the actual kWh-to-CO₂ ratio per facility.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2026-06-03T18:37:28Z</dcterms:created>
  <dcterms:modified xsi:type="dcterms:W3CDTF">2026-06-03T18:37:28Z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