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de0becc3bbbf1541a55fdf19d97fa379ce958c0"/>
    <w:p>
      <w:pPr>
        <w:pStyle w:val="Heading2"/>
      </w:pPr>
      <w:r>
        <w:t xml:space="preserve">03 — Сжигание бытовых отходов: электроэнергия с самыми высокими скрытыми издержками</w:t>
      </w:r>
    </w:p>
    <w:p>
      <w:pPr>
        <w:pStyle w:val="FirstParagraph"/>
      </w:pPr>
      <w:r>
        <w:rPr>
          <w:i/>
          <w:iCs/>
        </w:rPr>
        <w:t xml:space="preserve">О том, как европейские мусоросжигательные установки, будучи производителями энергии с самыми высокими скрытыми издержками на континенте, искусно маскируются под источники экологически чистой энергии.</w:t>
      </w:r>
    </w:p>
    <w:p>
      <w:pPr>
        <w:pStyle w:val="BodyText"/>
      </w:pPr>
      <w:r>
        <w:rPr>
          <w:b/>
          <w:bCs/>
        </w:rPr>
        <w:t xml:space="preserve">Что рассматривается в этом выпуске</w:t>
      </w:r>
    </w:p>
    <w:p>
      <w:pPr>
        <w:pStyle w:val="Compact"/>
        <w:numPr>
          <w:ilvl w:val="0"/>
          <w:numId w:val="1001"/>
        </w:numPr>
      </w:pPr>
      <w:r>
        <w:t xml:space="preserve">Фактический объем выбросов: две целых пять десятых – две целых девять десятых тонны CO₂ на тонну сожженного пластика (GAIA, Energy Justice, EPA eGRID).</w:t>
      </w:r>
    </w:p>
    <w:p>
      <w:pPr>
        <w:pStyle w:val="Compact"/>
        <w:numPr>
          <w:ilvl w:val="0"/>
          <w:numId w:val="1001"/>
        </w:numPr>
      </w:pPr>
      <w:r>
        <w:t xml:space="preserve">В расчете на один киловатт-час: мусоросжигательные заводы выбрасывают в два с половиной раза больше CO₂, чем угольные электростанции, и в четыре-пять раз больше, чем электростанции, работающие на природном газе.</w:t>
      </w:r>
    </w:p>
    <w:p>
      <w:pPr>
        <w:pStyle w:val="Compact"/>
        <w:numPr>
          <w:ilvl w:val="0"/>
          <w:numId w:val="1001"/>
        </w:numPr>
      </w:pPr>
      <w:r>
        <w:t xml:space="preserve">Пластиковая фракция в бытовых отходах: двенадцать–пятнадцать процентов от общей массы, при этом она обеспечивает около восьмидесяти процентов теплотворной способности и около семидесяти процентов выбросов CO₂.</w:t>
      </w:r>
    </w:p>
    <w:p>
      <w:pPr>
        <w:pStyle w:val="Compact"/>
        <w:numPr>
          <w:ilvl w:val="0"/>
          <w:numId w:val="1001"/>
        </w:numPr>
      </w:pPr>
      <w:r>
        <w:t xml:space="preserve">Правовая конструкция, делающая это возможным: Landfill Directive 1999/31/EG, Waste Framework Directive 2008/98/EG, RED III.</w:t>
      </w:r>
    </w:p>
    <w:p>
      <w:pPr>
        <w:pStyle w:val="Compact"/>
        <w:numPr>
          <w:ilvl w:val="0"/>
          <w:numId w:val="1001"/>
        </w:numPr>
      </w:pPr>
      <w:r>
        <w:t xml:space="preserve">Европейские показатели: около пятидесяти мегатонн CO₂ в год от мусоросжигательных заводов, из которых около тридцати пяти мегатонн приходится на пластиковую фракцию.</w:t>
      </w:r>
    </w:p>
    <w:p>
      <w:pPr>
        <w:pStyle w:val="Compact"/>
        <w:numPr>
          <w:ilvl w:val="0"/>
          <w:numId w:val="1001"/>
        </w:numPr>
      </w:pPr>
      <w:r>
        <w:t xml:space="preserve">Почему это остается догмой: «незаменимость» для обеспечения гигиены, сокращения объемов отходов, городского теплоснабжения и соответствия директивам ЕС.</w:t>
      </w:r>
    </w:p>
    <w:p>
      <w:pPr>
        <w:pStyle w:val="FirstParagraph"/>
      </w:pPr>
      <w:r>
        <w:rPr>
          <w:i/>
          <w:iCs/>
        </w:rPr>
        <w:t xml:space="preserve">Этот выпуск находится в процессе дополнения данными по эксплуатации крупнейших европейских мусоросжигательных заводов (AEB Amsterdam, MVA Rothensee, Spittelau Wenen) и эконометрическим расчетом реального соотношения кВт·ч к выбросам CO₂ для каждой отдельной установки.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2026-06-03T18:37:29Z</dcterms:created>
  <dcterms:modified xsi:type="dcterms:W3CDTF">2026-06-03T18:37:29Z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