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kunststoff-als-kohlenstoffspeichermedium"/>
    <w:p>
      <w:pPr>
        <w:pStyle w:val="Heading2"/>
      </w:pPr>
      <w:r>
        <w:t xml:space="preserve">04 — Kunststoff als Kohlenstoffspeichermedium</w:t>
      </w:r>
    </w:p>
    <w:p>
      <w:pPr>
        <w:pStyle w:val="FirstParagraph"/>
      </w:pPr>
      <w:r>
        <w:rPr>
          <w:i/>
          <w:iCs/>
        </w:rPr>
        <w:t xml:space="preserve">Wie die deutschen Braunkohletagebaue zu Europas größten Jahrhundert-Kohlenstoffspeichern werden können.</w:t>
      </w:r>
    </w:p>
    <w:p>
      <w:pPr>
        <w:pStyle w:val="BodyText"/>
      </w:pPr>
      <w:r>
        <w:rPr>
          <w:b/>
          <w:bCs/>
        </w:rPr>
        <w:t xml:space="preserve">Was diese Folge behandelt</w:t>
      </w:r>
    </w:p>
    <w:p>
      <w:pPr>
        <w:pStyle w:val="Compact"/>
        <w:numPr>
          <w:ilvl w:val="0"/>
          <w:numId w:val="1001"/>
        </w:numPr>
      </w:pPr>
      <w:r>
        <w:t xml:space="preserve">Kunststoffstabilität in anaerober geologischer Umgebung: fünfhundert bis fünftausend Jahre nachgewiesen, parallel zu natürlichen fossilen Schichten.</w:t>
      </w:r>
    </w:p>
    <w:p>
      <w:pPr>
        <w:pStyle w:val="Compact"/>
        <w:numPr>
          <w:ilvl w:val="0"/>
          <w:numId w:val="1001"/>
        </w:numPr>
      </w:pPr>
      <w:r>
        <w:t xml:space="preserve">Die deutschen Tagebaue Garzweiler, Hambach, Inden und Welzow-Süd: Dimensionen, Schließungsdaten (2030), Volumenkapazität, geologische Eignung.</w:t>
      </w:r>
    </w:p>
    <w:p>
      <w:pPr>
        <w:pStyle w:val="Compact"/>
        <w:numPr>
          <w:ilvl w:val="0"/>
          <w:numId w:val="1001"/>
        </w:numPr>
      </w:pPr>
      <w:r>
        <w:t xml:space="preserve">Die Zirkularität, die man nicht zirkulär nennen darf: Kohlenstoff aus Braunkohle raus, Kunststoff rein — derselbe geologische Raum, umgekehrte Fließrichtung.</w:t>
      </w:r>
    </w:p>
    <w:p>
      <w:pPr>
        <w:pStyle w:val="Compact"/>
        <w:numPr>
          <w:ilvl w:val="0"/>
          <w:numId w:val="1001"/>
        </w:numPr>
      </w:pPr>
      <w:r>
        <w:t xml:space="preserve">Logistische Architektur: Trennung an der Quelle in städtischen Gebieten, Schienentransport, Sortier- und Verpackungshubs am Rande der Tagebaue.</w:t>
      </w:r>
    </w:p>
    <w:p>
      <w:pPr>
        <w:pStyle w:val="Compact"/>
        <w:numPr>
          <w:ilvl w:val="0"/>
          <w:numId w:val="1001"/>
        </w:numPr>
      </w:pPr>
      <w:r>
        <w:t xml:space="preserve">Kosten pro Tonne eingelagertem Kunststoff gegenüber Einsparung gegenüber Verbrennung: ~2,86 Tonnen CO₂-Äquivalent vermieden pro Tonne, jahrhundertelange Fixierung.</w:t>
      </w:r>
    </w:p>
    <w:p>
      <w:pPr>
        <w:pStyle w:val="Compact"/>
        <w:numPr>
          <w:ilvl w:val="0"/>
          <w:numId w:val="1001"/>
        </w:numPr>
      </w:pPr>
      <w:r>
        <w:t xml:space="preserve">Die verfassungs- und umweltrechtliche Neubewertung, die für die Reklassifizierung der Tagebau-Einlagerung als „Carbon Storage Facility“ anstelle von „Landfill“ erforderlich ist.</w:t>
      </w:r>
    </w:p>
    <w:p>
      <w:pPr>
        <w:pStyle w:val="FirstParagraph"/>
      </w:pPr>
      <w:r>
        <w:rPr>
          <w:i/>
          <w:iCs/>
        </w:rPr>
        <w:t xml:space="preserve">Diese Folge wird noch mit Querschnitten der Tagebaue, einer logistischen Karte der Transportkorridore und der juristischen Argumentation für die Reklassifizierung ausgearbeitet.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2026-06-03T18:37:26Z</dcterms:created>
  <dcterms:modified xsi:type="dcterms:W3CDTF">2026-06-03T18:37:26Z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