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lastic-as-a-carbon-storage-medium"/>
    <w:p>
      <w:pPr>
        <w:pStyle w:val="Heading2"/>
      </w:pPr>
      <w:r>
        <w:t xml:space="preserve">04 — Plastic as a Carbon Storage Medium</w:t>
      </w:r>
    </w:p>
    <w:p>
      <w:pPr>
        <w:pStyle w:val="FirstParagraph"/>
      </w:pPr>
      <w:r>
        <w:rPr>
          <w:i/>
          <w:iCs/>
        </w:rPr>
        <w:t xml:space="preserve">How the German lignite opencast mines may become Europe’s grandest multi-century carbon storage facilities.</w:t>
      </w:r>
    </w:p>
    <w:p>
      <w:pPr>
        <w:pStyle w:val="BodyText"/>
      </w:pPr>
      <w:r>
        <w:rPr>
          <w:b/>
          <w:bCs/>
        </w:rPr>
        <w:t xml:space="preserve">What this instalment covers</w:t>
      </w:r>
    </w:p>
    <w:p>
      <w:pPr>
        <w:pStyle w:val="Compact"/>
        <w:numPr>
          <w:ilvl w:val="0"/>
          <w:numId w:val="1001"/>
        </w:numPr>
      </w:pPr>
      <w:r>
        <w:t xml:space="preserve">Plastic stability in anaerobic geological environments: proven for 500–5,000 years, running parallel to natural fossil strata.</w:t>
      </w:r>
    </w:p>
    <w:p>
      <w:pPr>
        <w:pStyle w:val="Compact"/>
        <w:numPr>
          <w:ilvl w:val="0"/>
          <w:numId w:val="1001"/>
        </w:numPr>
      </w:pPr>
      <w:r>
        <w:t xml:space="preserve">The German opencast mines of Garzweiler, Hambach, Inden, and Welzow-Süd: their dimensions, closure dates (2030), volumetric capacities, and geological suitability.</w:t>
      </w:r>
    </w:p>
    <w:p>
      <w:pPr>
        <w:pStyle w:val="Compact"/>
        <w:numPr>
          <w:ilvl w:val="0"/>
          <w:numId w:val="1001"/>
        </w:numPr>
      </w:pPr>
      <w:r>
        <w:t xml:space="preserve">The circularity that must not be named circular: extracting carbon from lignite, depositing plastic in its stead — the same geological space, an inverted direction of flow.</w:t>
      </w:r>
    </w:p>
    <w:p>
      <w:pPr>
        <w:pStyle w:val="Compact"/>
        <w:numPr>
          <w:ilvl w:val="0"/>
          <w:numId w:val="1001"/>
        </w:numPr>
      </w:pPr>
      <w:r>
        <w:t xml:space="preserve">Logistical architecture: source separation in urban areas, transport by rail, and sorting and packaging hubs at the perimeter of the opencast mines.</w:t>
      </w:r>
    </w:p>
    <w:p>
      <w:pPr>
        <w:pStyle w:val="Compact"/>
        <w:numPr>
          <w:ilvl w:val="0"/>
          <w:numId w:val="1001"/>
        </w:numPr>
      </w:pPr>
      <w:r>
        <w:t xml:space="preserve">Costs per tonne of stored plastic versus savings versus incineration: approximately 2.86 tonnes of CO₂ equivalent avoided per tonne, ensuring centuries of sequestration.</w:t>
      </w:r>
    </w:p>
    <w:p>
      <w:pPr>
        <w:pStyle w:val="Compact"/>
        <w:numPr>
          <w:ilvl w:val="0"/>
          <w:numId w:val="1001"/>
        </w:numPr>
      </w:pPr>
      <w:r>
        <w:t xml:space="preserve">The constitutional and environmental legal reconsideration required for the reclassification of opencast burial as a</w:t>
      </w:r>
      <w:r>
        <w:t xml:space="preserve"> </w:t>
      </w:r>
      <w:r>
        <w:t xml:space="preserve">‘</w:t>
      </w:r>
      <w:r>
        <w:t xml:space="preserve">carbon storage facility</w:t>
      </w:r>
      <w:r>
        <w:t xml:space="preserve">’</w:t>
      </w:r>
      <w:r>
        <w:t xml:space="preserve"> </w:t>
      </w:r>
      <w:r>
        <w:t xml:space="preserve">rather than a</w:t>
      </w:r>
      <w:r>
        <w:t xml:space="preserve"> </w:t>
      </w:r>
      <w:r>
        <w:t xml:space="preserve">‘</w:t>
      </w:r>
      <w:r>
        <w:t xml:space="preserve">landfill</w:t>
      </w:r>
      <w:r>
        <w:t xml:space="preserve">’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This instalment is being further developed with cross-sections of the opencast mines, a logistical map of transport corridors, and the legal arguments for reclassification.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2026-06-03T18:37:28Z</dcterms:created>
  <dcterms:modified xsi:type="dcterms:W3CDTF">2026-06-03T18:37:28Z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