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пластик-как-среда-для-хранения-углерода"/>
    <w:p>
      <w:pPr>
        <w:pStyle w:val="Heading2"/>
      </w:pPr>
      <w:r>
        <w:t xml:space="preserve">04 — Пластик как среда для хранения углерода</w:t>
      </w:r>
    </w:p>
    <w:p>
      <w:pPr>
        <w:pStyle w:val="FirstParagraph"/>
      </w:pPr>
      <w:r>
        <w:rPr>
          <w:i/>
          <w:iCs/>
        </w:rPr>
        <w:t xml:space="preserve">Как немецкие буроугольные разрезы могут стать крупнейшими в Европе многовековыми хранилищами углерода.</w:t>
      </w:r>
    </w:p>
    <w:p>
      <w:pPr>
        <w:pStyle w:val="BodyText"/>
      </w:pPr>
      <w:r>
        <w:rPr>
          <w:b/>
          <w:bCs/>
        </w:rPr>
        <w:t xml:space="preserve">О чем пойдет речь в этой главе</w:t>
      </w:r>
    </w:p>
    <w:p>
      <w:pPr>
        <w:pStyle w:val="Compact"/>
        <w:numPr>
          <w:ilvl w:val="0"/>
          <w:numId w:val="1001"/>
        </w:numPr>
      </w:pPr>
      <w:r>
        <w:t xml:space="preserve">Стабильность пластика в анаэробной геологической среде: доказанный период от 500 до 5000 лет, по аналогии с природными ископаемыми слоями.</w:t>
      </w:r>
    </w:p>
    <w:p>
      <w:pPr>
        <w:pStyle w:val="Compact"/>
        <w:numPr>
          <w:ilvl w:val="0"/>
          <w:numId w:val="1001"/>
        </w:numPr>
      </w:pPr>
      <w:r>
        <w:t xml:space="preserve">Немецкие угольные разрезы Garzweiler, Hambach, Inden и Welzow-Süd: их масштабы, сроки закрытия (2030 год), вместимость и геологическая пригодность.</w:t>
      </w:r>
    </w:p>
    <w:p>
      <w:pPr>
        <w:pStyle w:val="Compact"/>
        <w:numPr>
          <w:ilvl w:val="0"/>
          <w:numId w:val="1001"/>
        </w:numPr>
      </w:pPr>
      <w:r>
        <w:t xml:space="preserve">Цикличность, которую нельзя называть круговоротом: углерод из бурого угля — наружу, пластик — внутрь; использование того же геологического пространства при обратном направлении потока.</w:t>
      </w:r>
    </w:p>
    <w:p>
      <w:pPr>
        <w:pStyle w:val="Compact"/>
        <w:numPr>
          <w:ilvl w:val="0"/>
          <w:numId w:val="1001"/>
        </w:numPr>
      </w:pPr>
      <w:r>
        <w:t xml:space="preserve">Логистическая архитектура: раздельный сбор у источника в городских агломерациях, транспортировка по железной дороге, сортировочные и упаковочные хабы на границах разрезов.</w:t>
      </w:r>
    </w:p>
    <w:p>
      <w:pPr>
        <w:pStyle w:val="Compact"/>
        <w:numPr>
          <w:ilvl w:val="0"/>
          <w:numId w:val="1001"/>
        </w:numPr>
      </w:pPr>
      <w:r>
        <w:t xml:space="preserve">Стоимость хранения одной тонны пластика в сравнении с экономией и сжиганием: предотвращение выброса примерно 2,86 тонны эквивалента CO₂ на каждую тонну, фиксация на века.</w:t>
      </w:r>
    </w:p>
    <w:p>
      <w:pPr>
        <w:pStyle w:val="Compact"/>
        <w:numPr>
          <w:ilvl w:val="0"/>
          <w:numId w:val="1001"/>
        </w:numPr>
      </w:pPr>
      <w:r>
        <w:t xml:space="preserve">Пересмотр норм конституционного и экологического права, необходимый для переклассификации захоронения в разрезах как «carbon storage facility» вместо «landfill».</w:t>
      </w:r>
    </w:p>
    <w:p>
      <w:pPr>
        <w:pStyle w:val="FirstParagraph"/>
      </w:pPr>
      <w:r>
        <w:rPr>
          <w:i/>
          <w:iCs/>
        </w:rPr>
        <w:t xml:space="preserve">Эта глава будет дополнена поперечными сечениями разрезов, логистической картой транспортных коридоров и юридической аргументацией для изменения классификации.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2026-06-03T18:37:30Z</dcterms:created>
  <dcterms:modified xsi:type="dcterms:W3CDTF">2026-06-03T18:37:30Z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