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rei-pilotanlagen"/>
    <w:p>
      <w:pPr>
        <w:pStyle w:val="Heading2"/>
      </w:pPr>
      <w:r>
        <w:t xml:space="preserve">05 — Drei Pilotanlagen</w:t>
      </w:r>
    </w:p>
    <w:p>
      <w:pPr>
        <w:pStyle w:val="FirstParagraph"/>
      </w:pPr>
      <w:r>
        <w:rPr>
          <w:i/>
          <w:iCs/>
        </w:rPr>
        <w:t xml:space="preserve">Konkreter Vorschlag für drei Pilotprojekte, die innerhalb von drei Jahren den Weg vom Papier zum Stahl finden können — geografisch, finanziell und vertraglich detailliert ausgearbeitet.</w:t>
      </w:r>
    </w:p>
    <w:p>
      <w:pPr>
        <w:pStyle w:val="BodyText"/>
      </w:pPr>
      <w:r>
        <w:rPr>
          <w:b/>
          <w:bCs/>
        </w:rPr>
        <w:t xml:space="preserve">Was diese Episode behandelt</w:t>
      </w:r>
    </w:p>
    <w:p>
      <w:pPr>
        <w:pStyle w:val="Compact"/>
        <w:numPr>
          <w:ilvl w:val="0"/>
          <w:numId w:val="1001"/>
        </w:numPr>
      </w:pPr>
      <w:r>
        <w:rPr>
          <w:b/>
          <w:bCs/>
        </w:rPr>
        <w:t xml:space="preserve">Pilot Brasilien-Niederlande</w:t>
      </w:r>
      <w:r>
        <w:t xml:space="preserve"> </w:t>
      </w:r>
      <w:r>
        <w:t xml:space="preserve">(Produktionsachse): 50.000 ha Giant Juncao in Mato Grosso do Sul, BiCRS-Anlage am Rio São Francisco, Bioethanol-Export über Rotterdam. Ziel: 200.000 Tonnen Ethanol/Jahr + 350.000 Tonnen CO₂-Fixierung im dritten Jahr.</w:t>
      </w:r>
    </w:p>
    <w:p>
      <w:pPr>
        <w:pStyle w:val="Compact"/>
        <w:numPr>
          <w:ilvl w:val="0"/>
          <w:numId w:val="1001"/>
        </w:numPr>
      </w:pPr>
      <w:r>
        <w:rPr>
          <w:b/>
          <w:bCs/>
        </w:rPr>
        <w:t xml:space="preserve">Pilot Nigeria-Deutschland</w:t>
      </w:r>
      <w:r>
        <w:t xml:space="preserve"> </w:t>
      </w:r>
      <w:r>
        <w:t xml:space="preserve">(Produktionsachse): 30.000 ha Juncao im Bundesstaat Kaduna, BiCRS-Anlage nahe dem Nigerdelta, Biomethanol-Export über Hamburg. Ziel: 120.000 Tonnen Methanol/Jahr + 200.000 Tonnen CO₂-Fixierung im dritten Jahr.</w:t>
      </w:r>
    </w:p>
    <w:p>
      <w:pPr>
        <w:pStyle w:val="Compact"/>
        <w:numPr>
          <w:ilvl w:val="0"/>
          <w:numId w:val="1001"/>
        </w:numPr>
      </w:pPr>
      <w:r>
        <w:rPr>
          <w:b/>
          <w:bCs/>
        </w:rPr>
        <w:t xml:space="preserve">Pilot Garzweiler</w:t>
      </w:r>
      <w:r>
        <w:t xml:space="preserve"> </w:t>
      </w:r>
      <w:r>
        <w:t xml:space="preserve">(Speicherachse): Kunststofftrennung an der Quelle in vier deutschen Regionen (NRW, Sachsen, Brandenburg, Bayern), Schienentransport zum Rand von Garzweiler, Verfüllung des ersten Abschnitts mit 500.000 Tonnen Kunststoff im zweiten Jahr. Ziel: 1,43 Megatonnen CO₂-Äquivalent pro Jahr vermieden.</w:t>
      </w:r>
    </w:p>
    <w:p>
      <w:pPr>
        <w:pStyle w:val="Compact"/>
        <w:numPr>
          <w:ilvl w:val="0"/>
          <w:numId w:val="1001"/>
        </w:numPr>
      </w:pPr>
      <w:r>
        <w:t xml:space="preserve">Finanzierung: Europäische Investitionsbank, KfW, BNDES, AfDB sowie institutionelle Abnahmeverträge für die Luftfahrt (KLM, Lufthansa) und Schifffahrt (Maersk, MSC).</w:t>
      </w:r>
    </w:p>
    <w:p>
      <w:pPr>
        <w:pStyle w:val="Compact"/>
        <w:numPr>
          <w:ilvl w:val="0"/>
          <w:numId w:val="1001"/>
        </w:numPr>
      </w:pPr>
      <w:r>
        <w:t xml:space="preserve">Vertragliche Struktur: Kohlenstoff-Credits, Abnahmesicherheit durch europäische Gesetzgebung, faire Vergütung der Produktionsländer einschließlich lokaler Beschäftigung.</w:t>
      </w:r>
    </w:p>
    <w:p>
      <w:pPr>
        <w:pStyle w:val="Compact"/>
        <w:numPr>
          <w:ilvl w:val="0"/>
          <w:numId w:val="1001"/>
        </w:numPr>
      </w:pPr>
      <w:r>
        <w:t xml:space="preserve">Zeitplan: Jahr 0 (Beschluss), Jahr 1 (Flächenerschließung + Sortierung), Jahr 2 (erste Ernte + erste Kunststoffeinlagerung), Jahr 3 (vollständiger Betriebszyklus).</w:t>
      </w:r>
    </w:p>
    <w:p>
      <w:pPr>
        <w:pStyle w:val="FirstParagraph"/>
      </w:pPr>
      <w:r>
        <w:rPr>
          <w:b/>
          <w:bCs/>
        </w:rPr>
        <w:t xml:space="preserve">Pressestrategie pro Pilot — wie die Gewerkschaften gesteuert werden</w:t>
      </w:r>
    </w:p>
    <w:p>
      <w:pPr>
        <w:pStyle w:val="BodyText"/>
      </w:pPr>
      <w:r>
        <w:t xml:space="preserve">Jedes Pilotprojekt verfügt über eine Gewerkschaft, die als Bremsgewicht fungieren kann: FNV Havens in Rotterdam, IG BCE in Hamburg und Garzweiler sowie lokale nigerianische Erdölgewerkschaften in Kaduna. Der Mechanismus aus Episode 8 besteht nicht darin, mit diesen Gewerkschaften zu verhandeln, sondern die Presse in jedem Gebiet wöchentlich mit gemessenen Fakten zu füllen: Wie viele Arbeitsplätze schafft das Pilotprojekt (konkret, pro Region), wie sieht die CO₂-Bilanz aus (tatsächlich gemessen, nicht bloß versprochen), wie stellt sich die Beschäftigungslage für die Gewerkschaftsmitglieder persönlich dar. Die Bürger — in diesen Regionen fast ausnahmslos Gewerkschaftsmitglieder — lesen dies, erkennen ihre eigenen Interessen und lenken ihren Verband auf der Generalversammlung in die entsprechende Richtung. Die Gewerkschaft korrigiert sich innerhalb von zwei Jahren selbst oder verliert Mitglieder. In beiden Fällen verschwindet die Blockade. Dies stellt keinen Angriff auf die Gewerkschaft dar; vielmehr ermöglicht es dem Verband, seine eigentliche Funktion — den Schutz von Arbeitsplätzen und Kaufkraft — innerhalb einer neuen Industriestruktur wahrzunehmen.</w:t>
      </w:r>
    </w:p>
    <w:p>
      <w:pPr>
        <w:pStyle w:val="BodyText"/>
      </w:pPr>
      <w:r>
        <w:rPr>
          <w:i/>
          <w:iCs/>
        </w:rPr>
        <w:t xml:space="preserve">Diese Episode wird zusätzlich mit Landkarten der jeweiligen Pilotgebiete, Finanzmodellen pro Pilotprojekt und den drei Modellverträgen, die das Fundament bilden, ergänzt.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2026-06-03T18:37:26Z</dcterms:created>
  <dcterms:modified xsi:type="dcterms:W3CDTF">2026-06-03T18:37:26Z</dcterms:modified>
</cp:coreProperties>
</file>

<file path=docProps/custom.xml><?xml version="1.0" encoding="utf-8"?>
<Properties xmlns="http://schemas.openxmlformats.org/officeDocument/2006/custom-properties" xmlns:vt="http://schemas.openxmlformats.org/officeDocument/2006/docPropsVTypes"/>
</file>