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ree-pilot-installations"/>
    <w:p>
      <w:pPr>
        <w:pStyle w:val="Heading2"/>
      </w:pPr>
      <w:r>
        <w:t xml:space="preserve">05 — Three Pilot Installations</w:t>
      </w:r>
    </w:p>
    <w:p>
      <w:pPr>
        <w:pStyle w:val="FirstParagraph"/>
      </w:pPr>
      <w:r>
        <w:rPr>
          <w:i/>
          <w:iCs/>
        </w:rPr>
        <w:t xml:space="preserve">A concrete proposal for three pilots capable of transitioning from paper to steel within three years — elaborated geographically, financially, and contractually.</w:t>
      </w:r>
    </w:p>
    <w:p>
      <w:pPr>
        <w:pStyle w:val="BodyText"/>
      </w:pPr>
      <w:r>
        <w:rPr>
          <w:b/>
          <w:bCs/>
        </w:rPr>
        <w:t xml:space="preserve">What this instalment covers</w:t>
      </w:r>
    </w:p>
    <w:p>
      <w:pPr>
        <w:pStyle w:val="Compact"/>
        <w:numPr>
          <w:ilvl w:val="0"/>
          <w:numId w:val="1001"/>
        </w:numPr>
      </w:pPr>
      <w:r>
        <w:rPr>
          <w:b/>
          <w:bCs/>
        </w:rPr>
        <w:t xml:space="preserve">Pilot Brazil-Netherlands</w:t>
      </w:r>
      <w:r>
        <w:t xml:space="preserve"> </w:t>
      </w:r>
      <w:r>
        <w:t xml:space="preserve">(production axis): 50,000 ha of Giant Juncao in Mato Grosso do Sul, a BiCRS installation on the São Francisco River, and bio-ethanol export via Rotterdam. Objective: 200,000 tonnes of ethanol/year + 350,000 tonnes of CO₂ sequestered in year three.</w:t>
      </w:r>
    </w:p>
    <w:p>
      <w:pPr>
        <w:pStyle w:val="Compact"/>
        <w:numPr>
          <w:ilvl w:val="0"/>
          <w:numId w:val="1001"/>
        </w:numPr>
      </w:pPr>
      <w:r>
        <w:rPr>
          <w:b/>
          <w:bCs/>
        </w:rPr>
        <w:t xml:space="preserve">Pilot Nigeria-Germany</w:t>
      </w:r>
      <w:r>
        <w:t xml:space="preserve"> </w:t>
      </w:r>
      <w:r>
        <w:t xml:space="preserve">(production axis): 30,000 ha of Juncao in Kaduna State, a BiCRS installation near the Niger Delta, and bio-methanol export via Hamburg. Objective: 120,000 tonnes of methanol/year + 200,000 tonnes of CO₂ sequestered in year three.</w:t>
      </w:r>
    </w:p>
    <w:p>
      <w:pPr>
        <w:pStyle w:val="Compact"/>
        <w:numPr>
          <w:ilvl w:val="0"/>
          <w:numId w:val="1001"/>
        </w:numPr>
      </w:pPr>
      <w:r>
        <w:rPr>
          <w:b/>
          <w:bCs/>
        </w:rPr>
        <w:t xml:space="preserve">Pilot Garzweiler</w:t>
      </w:r>
      <w:r>
        <w:t xml:space="preserve"> </w:t>
      </w:r>
      <w:r>
        <w:t xml:space="preserve">(storage axis): plastic separation at the source in four German regions (NRW, Saxony, Brandenburg, Bavaria), transport by rail to the Garzweiler perimeter, and the first sectional filling with 500,000 tonnes of plastic in year two. Objective: 1.43 megatonnes of CO₂-equivalent avoided per annum.</w:t>
      </w:r>
    </w:p>
    <w:p>
      <w:pPr>
        <w:pStyle w:val="Compact"/>
        <w:numPr>
          <w:ilvl w:val="0"/>
          <w:numId w:val="1001"/>
        </w:numPr>
      </w:pPr>
      <w:r>
        <w:t xml:space="preserve">Financing: European Investment Bank, KfW, BNDES, AfDB, supplemented by institutional off-take agreements for aviation (KLM, Lufthansa) and shipping (Maersk, MSC).</w:t>
      </w:r>
    </w:p>
    <w:p>
      <w:pPr>
        <w:pStyle w:val="Compact"/>
        <w:numPr>
          <w:ilvl w:val="0"/>
          <w:numId w:val="1001"/>
        </w:numPr>
      </w:pPr>
      <w:r>
        <w:t xml:space="preserve">Contractual structure: carbon credits, off-taker security via European legislation, and fair compensation for the producing nations, including local employment opportunities.</w:t>
      </w:r>
    </w:p>
    <w:p>
      <w:pPr>
        <w:pStyle w:val="Compact"/>
        <w:numPr>
          <w:ilvl w:val="0"/>
          <w:numId w:val="1001"/>
        </w:numPr>
      </w:pPr>
      <w:r>
        <w:t xml:space="preserve">Timeline: year 0 (decision), year 1 (land preparation + sorting), year 2 (first harvest + first plastic burial), year 3 (full operational cycle).</w:t>
      </w:r>
    </w:p>
    <w:p>
      <w:pPr>
        <w:pStyle w:val="FirstParagraph"/>
      </w:pPr>
      <w:r>
        <w:rPr>
          <w:b/>
          <w:bCs/>
        </w:rPr>
        <w:t xml:space="preserve">Press strategy per pilot — how the unions are guided</w:t>
      </w:r>
    </w:p>
    <w:p>
      <w:pPr>
        <w:pStyle w:val="BodyText"/>
      </w:pPr>
      <w:r>
        <w:t xml:space="preserve">Each pilot is attended by a trade union that may act as a counterweight: FNV Havens at Rotterdam, IG BCE at Hamburg and Garzweiler, and local Nigerian petroleum unions at Kaduna. The mechanism described in instalment 8 is not to negotiate with these unions, but rather to saturate the press in each region weekly with measured facts: how many jobs the pilot provides (concretely, per region), what the CO₂ balance is (measured, not merely promised), and what the employment prospects look like for the union members personally. Citizens — almost all of whom are union members in these regions — read this, recognise their own interests, and direct their union during the general assembly. The union corrects its own course within two years, or it loses members. In either case, the blockage vanishes. This is not an assault on the union; it is allowing the union to exercise its true function — the protection of employment and purchasing power — within a newly forged industrial structure.</w:t>
      </w:r>
    </w:p>
    <w:p>
      <w:pPr>
        <w:pStyle w:val="BodyText"/>
      </w:pPr>
      <w:r>
        <w:rPr>
          <w:i/>
          <w:iCs/>
        </w:rPr>
        <w:t xml:space="preserve">This instalment is currently being further developed with maps of each pilot area, financial models per pilot, and the three model contracts that form the foundation.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