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три-пилотные-установки"/>
    <w:p>
      <w:pPr>
        <w:pStyle w:val="Heading2"/>
      </w:pPr>
      <w:r>
        <w:t xml:space="preserve">05 — Три пилотные установки</w:t>
      </w:r>
    </w:p>
    <w:p>
      <w:pPr>
        <w:pStyle w:val="FirstParagraph"/>
      </w:pPr>
      <w:r>
        <w:rPr>
          <w:i/>
          <w:iCs/>
        </w:rPr>
        <w:t xml:space="preserve">Конкретное предложение по трем пилотным проектам, которые в течение трех лет могут перейти с бумаги в сталь — географически, финансово и контрактно проработанное.</w:t>
      </w:r>
    </w:p>
    <w:p>
      <w:pPr>
        <w:pStyle w:val="BodyText"/>
      </w:pPr>
      <w:r>
        <w:rPr>
          <w:b/>
          <w:bCs/>
        </w:rPr>
        <w:t xml:space="preserve">О чем рассказывается в этом выпуске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Пилотный проект Brazilië-Nederland</w:t>
      </w:r>
      <w:r>
        <w:t xml:space="preserve"> </w:t>
      </w:r>
      <w:r>
        <w:t xml:space="preserve">(производственная ось): 50 000 га Giant Juncao в Mato Grosso do Sul, BiCRS-installatie на São Francisco-rivier, экспорт биоэтанола через Rotterdam. Цель: 200 000 тонн этанола в год + 350 000 тонн CO₂ зафиксировано на третий год.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Пилотный проект Nigeria-Duitsland</w:t>
      </w:r>
      <w:r>
        <w:t xml:space="preserve"> </w:t>
      </w:r>
      <w:r>
        <w:t xml:space="preserve">(производственная ось): 30 000 га Juncao в Kaduna State, BiCRS-installatie вблизи Niger-delta, экспорт биометанола через Hamburg. Цель: 120 000 тонн метанола в год + 200 000 тонн CO₂ зафиксировано на третий год.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Пилотный проект Garzweiler</w:t>
      </w:r>
      <w:r>
        <w:t xml:space="preserve"> </w:t>
      </w:r>
      <w:r>
        <w:t xml:space="preserve">(ось хранения): разделение пластика у источника в четырех немецких регионах (NRW, Saksen, Brandenburg, Beieren), транспортировка по железной дороге к окраине Garzweiler, заполнение первой секции пятьюстами тысячами тонн пластика на второй год. Цель: предотвращение выбросов 1,43 мегатонны в эквиваленте CO₂ в год.</w:t>
      </w:r>
    </w:p>
    <w:p>
      <w:pPr>
        <w:pStyle w:val="Compact"/>
        <w:numPr>
          <w:ilvl w:val="0"/>
          <w:numId w:val="1001"/>
        </w:numPr>
      </w:pPr>
      <w:r>
        <w:t xml:space="preserve">Финансирование: Europese Investeringsbank, KfW, BNDES, AfDB, плюс институциональные контракты на закупку для авиации (KLM, Lufthansa) и судоходства (Maersk, MSC).</w:t>
      </w:r>
    </w:p>
    <w:p>
      <w:pPr>
        <w:pStyle w:val="Compact"/>
        <w:numPr>
          <w:ilvl w:val="0"/>
          <w:numId w:val="1001"/>
        </w:numPr>
      </w:pPr>
      <w:r>
        <w:t xml:space="preserve">Контрактная структура: углеродные кредиты, гарантии для покупателей через Europese richtlijnen, справедливое вознаграждение странам-производителям, включая создание местных рабочих мест.</w:t>
      </w:r>
    </w:p>
    <w:p>
      <w:pPr>
        <w:pStyle w:val="Compact"/>
        <w:numPr>
          <w:ilvl w:val="0"/>
          <w:numId w:val="1001"/>
        </w:numPr>
      </w:pPr>
      <w:r>
        <w:t xml:space="preserve">График: год 0 (решение), год 1 (подготовка территорий + сортировка), год 2 (первый урожай + первое захоронение пластика), год 3 (полный операционный цикл).</w:t>
      </w:r>
    </w:p>
    <w:p>
      <w:pPr>
        <w:pStyle w:val="FirstParagraph"/>
      </w:pPr>
      <w:r>
        <w:rPr>
          <w:b/>
          <w:bCs/>
        </w:rPr>
        <w:t xml:space="preserve">Пресс-стратегия для каждого пилотного проекта — как осуществляется управление профсоюзами</w:t>
      </w:r>
    </w:p>
    <w:p>
      <w:pPr>
        <w:pStyle w:val="BodyText"/>
      </w:pPr>
      <w:r>
        <w:t xml:space="preserve">У каждого пилотного проекта есть профсоюз, способный выступить в роли тормоза: FNV Havens в Rotterdam, IG BCE в Hamburg и Garzweiler, и местные нигерийские нефтяные профсоюзы в Kaduna. Механизм восьмого выпуска заключается не в переговорах с этими профсоюзами, а в еженедельном наполнении прессы в каждом регионе измеренными фактами: сколько рабочих мест создает пилотный проект (конкретно, по регионам), каков баланс CO₂ (измеренный, а не обещанный), как выглядят перспективы трудоустройства для членов профсоюза лично. Граждане — почти все они являются членами профсоюзов в этих регионах — читают это, осознают свои интересы и направляют свой профсоюз на общем собрании участников. Профсоюз либо корректирует свой курс в течение двух лет, либо теряет членов. В обоих случаях блокировка исчезает. Это не нападение на профсоюз; это предоставление профсоюзу возможности выполнять его истинную функцию — защищать занятость и покупательную способность — в рамках новой промышленной структуры.</w:t>
      </w:r>
    </w:p>
    <w:p>
      <w:pPr>
        <w:pStyle w:val="BodyText"/>
      </w:pPr>
      <w:r>
        <w:rPr>
          <w:i/>
          <w:iCs/>
        </w:rPr>
        <w:t xml:space="preserve">Этот выпуск будет дополнен картами каждой пилотной зоны, финансовыми моделями для каждого проекта и тремя типовыми контрактами, составляющими основу.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2026-06-03T18:37:30Z</dcterms:created>
  <dcterms:modified xsi:type="dcterms:W3CDTF">2026-06-03T18:37:30Z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