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as-fenster-schließt-sich"/>
    <w:p>
      <w:pPr>
        <w:pStyle w:val="Heading2"/>
      </w:pPr>
      <w:r>
        <w:t xml:space="preserve">06 — Das Fenster schließt sich</w:t>
      </w:r>
    </w:p>
    <w:p>
      <w:pPr>
        <w:pStyle w:val="FirstParagraph"/>
      </w:pPr>
      <w:r>
        <w:rPr>
          <w:i/>
          <w:iCs/>
        </w:rPr>
        <w:t xml:space="preserve">Warum drei bis fünf Jahre das Zeitfenster markieren und was geschieht, wenn Europa diesen Moment verpasst.</w:t>
      </w:r>
    </w:p>
    <w:p>
      <w:pPr>
        <w:pStyle w:val="BodyText"/>
      </w:pPr>
      <w:r>
        <w:rPr>
          <w:b/>
          <w:bCs/>
        </w:rPr>
        <w:t xml:space="preserve">Was diese Episode behandelt</w:t>
      </w:r>
    </w:p>
    <w:p>
      <w:pPr>
        <w:pStyle w:val="Compact"/>
        <w:numPr>
          <w:ilvl w:val="0"/>
          <w:numId w:val="1001"/>
        </w:numPr>
      </w:pPr>
      <w:r>
        <w:t xml:space="preserve">Chinesische Präsenz beim Giant Juncao-Export: Seit 2010 werden aktive Werbekampagnen in Papoea-Nieuw-Guinea, Fiji, Centraal-Afrikaanse Republiek, Zimbabwe, Rwanda und Madagascar betrieben — dies umfasst mehr als zwölftausend landwirtschaftliche Betriebe in sechzehn Provinzen acht verschiedener Länder.</w:t>
      </w:r>
    </w:p>
    <w:p>
      <w:pPr>
        <w:pStyle w:val="Compact"/>
        <w:numPr>
          <w:ilvl w:val="0"/>
          <w:numId w:val="1001"/>
        </w:numPr>
      </w:pPr>
      <w:r>
        <w:t xml:space="preserve">Was geografischer Vorsprung bedeutet: lokale Veredelungsstationen, lokale Produktlinien, eine lokale Wissensbasis sowie lokale Handelsnetzwerke — ein Vorsprung, der allein durch europäische Kapitalinjektionen nicht mehr einzuholen ist.</w:t>
      </w:r>
    </w:p>
    <w:p>
      <w:pPr>
        <w:pStyle w:val="Compact"/>
        <w:numPr>
          <w:ilvl w:val="0"/>
          <w:numId w:val="1001"/>
        </w:numPr>
      </w:pPr>
      <w:r>
        <w:t xml:space="preserve">Die Parallele zu Solarmodulen: Einst war Europa der Erfinder, bevor China die Rolle des Produzenten übernahm und Europa schließlich zum bloßen Abnehmer wurde; ohne ein rasches Intervenieren droht sich dieses Muster bei BiCRS und Biokraftstoffen aus Juncao unweigerlich zu wiederholen.</w:t>
      </w:r>
    </w:p>
    <w:p>
      <w:pPr>
        <w:pStyle w:val="Compact"/>
        <w:numPr>
          <w:ilvl w:val="0"/>
          <w:numId w:val="1001"/>
        </w:numPr>
      </w:pPr>
      <w:r>
        <w:t xml:space="preserve">Die Parallele zu Halbleitern: ASML hat eindrucksvoll bewiesen, was die europäische Industrie zu leisten vermag, wenn ein einzelnes Unternehmen über dreißig Jahre hinweg durch eine Regierung beständige Unterstützung erfährt, doch ein einzelnes Unternehmen macht noch keinen ganzen Kontinent aus.</w:t>
      </w:r>
    </w:p>
    <w:p>
      <w:pPr>
        <w:pStyle w:val="Compact"/>
        <w:numPr>
          <w:ilvl w:val="0"/>
          <w:numId w:val="1001"/>
        </w:numPr>
      </w:pPr>
      <w:r>
        <w:t xml:space="preserve">Die russische Kettenreaktion: Sobald Russland den Rückhalt seiner fossilen Energie verliert, bricht sein gesamtes ökonomisches Modell in sich zusammen, woraus sich die drängende Frage ergibt, wer künftig die notwendige Ersatzenergie liefern wird — denn wer die Juncao-Achse besitzt, der besitzt letztlich auch die Antworten.</w:t>
      </w:r>
    </w:p>
    <w:p>
      <w:pPr>
        <w:pStyle w:val="Compact"/>
        <w:numPr>
          <w:ilvl w:val="0"/>
          <w:numId w:val="1001"/>
        </w:numPr>
      </w:pPr>
      <w:r>
        <w:t xml:space="preserve">Die amerikanische Alternative: Trumps Juristen-Kabinett wird keine BiCRS-Installationen errichten; dies ist eine Einladung, die niemals ausgesprochen wird.</w:t>
      </w:r>
    </w:p>
    <w:p>
      <w:pPr>
        <w:pStyle w:val="FirstParagraph"/>
      </w:pPr>
      <w:r>
        <w:rPr>
          <w:i/>
          <w:iCs/>
        </w:rPr>
        <w:t xml:space="preserve">Diese Episode wird noch um eine Zeitstrahl-Grafik des chinesischen Juncao-Exports seit 2010 sowie um die drei geopolitischen Szenarien für den Fall des Verpassens dieses Fensters ergänzt.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2026-06-03T18:37:26Z</dcterms:created>
  <dcterms:modified xsi:type="dcterms:W3CDTF">2026-06-03T18:37:26Z</dcterms:modified>
</cp:coreProperties>
</file>

<file path=docProps/custom.xml><?xml version="1.0" encoding="utf-8"?>
<Properties xmlns="http://schemas.openxmlformats.org/officeDocument/2006/custom-properties" xmlns:vt="http://schemas.openxmlformats.org/officeDocument/2006/docPropsVTypes"/>
</file>