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window-closes"/>
    <w:p>
      <w:pPr>
        <w:pStyle w:val="Heading2"/>
      </w:pPr>
      <w:r>
        <w:t xml:space="preserve">06 — The Window Closes</w:t>
      </w:r>
    </w:p>
    <w:p>
      <w:pPr>
        <w:pStyle w:val="FirstParagraph"/>
      </w:pPr>
      <w:r>
        <w:rPr>
          <w:i/>
          <w:iCs/>
        </w:rPr>
        <w:t xml:space="preserve">Why three to five years represents the window of opportunity, and what transpires should Europe miss its mark.</w:t>
      </w:r>
    </w:p>
    <w:p>
      <w:pPr>
        <w:pStyle w:val="BodyText"/>
      </w:pPr>
      <w:r>
        <w:rPr>
          <w:b/>
          <w:bCs/>
        </w:rPr>
        <w:t xml:space="preserve">What this instalment covers</w:t>
      </w:r>
    </w:p>
    <w:p>
      <w:pPr>
        <w:pStyle w:val="Compact"/>
        <w:numPr>
          <w:ilvl w:val="0"/>
          <w:numId w:val="1001"/>
        </w:numPr>
      </w:pPr>
      <w:r>
        <w:t xml:space="preserve">Chinese presence in Giant Juncao exports: active promotion campaigns since 2010 in Papua New Guinea, Fiji, the Central African Republic, Zimbabwe, Rwanda, and Madagascar — more than twelve thousand farms in sixteen provinces across eight countries.</w:t>
      </w:r>
    </w:p>
    <w:p>
      <w:pPr>
        <w:pStyle w:val="Compact"/>
        <w:numPr>
          <w:ilvl w:val="0"/>
          <w:numId w:val="1001"/>
        </w:numPr>
      </w:pPr>
      <w:r>
        <w:t xml:space="preserve">What a geographical head start entails: local breeding stations, local product lines, local knowledge bases, local trade networks — achievements that cannot be overtaken by European capital injection alone.</w:t>
      </w:r>
    </w:p>
    <w:p>
      <w:pPr>
        <w:pStyle w:val="Compact"/>
        <w:numPr>
          <w:ilvl w:val="0"/>
          <w:numId w:val="1001"/>
        </w:numPr>
      </w:pPr>
      <w:r>
        <w:t xml:space="preserve">The parallel with solar panels: Europe was the inventor, China became the producer, and Europe became the consumer. Without swift intervention, this pattern shall repeat itself for BiCRS and biofuel derived from Juncao.</w:t>
      </w:r>
    </w:p>
    <w:p>
      <w:pPr>
        <w:pStyle w:val="Compact"/>
        <w:numPr>
          <w:ilvl w:val="0"/>
          <w:numId w:val="1001"/>
        </w:numPr>
      </w:pPr>
      <w:r>
        <w:t xml:space="preserve">The parallel with semiconductors: ASML demonstrated what European industry can still deliver when a single company is supported by a single government for thirty years. However, one company does not constitute a continent.</w:t>
      </w:r>
    </w:p>
    <w:p>
      <w:pPr>
        <w:pStyle w:val="Compact"/>
        <w:numPr>
          <w:ilvl w:val="0"/>
          <w:numId w:val="1001"/>
        </w:numPr>
      </w:pPr>
      <w:r>
        <w:t xml:space="preserve">The Russian chain reaction: as soon as Russia loses its fossil energy, its economic model collapses. The question remains who will provide the replacement energy. He who possesses the Juncao axis, possesses the answers.</w:t>
      </w:r>
    </w:p>
    <w:p>
      <w:pPr>
        <w:pStyle w:val="Compact"/>
        <w:numPr>
          <w:ilvl w:val="0"/>
          <w:numId w:val="1001"/>
        </w:numPr>
      </w:pPr>
      <w:r>
        <w:t xml:space="preserve">The American alternative: Trump’s cabinet of lawyers is not building BiCRS facilities. That is an invitation that is not forthcoming.</w:t>
      </w:r>
    </w:p>
    <w:p>
      <w:pPr>
        <w:pStyle w:val="FirstParagraph"/>
      </w:pPr>
      <w:r>
        <w:rPr>
          <w:i/>
          <w:iCs/>
        </w:rPr>
        <w:t xml:space="preserve">This instalment is currently being further developed with a timeline graph of Chinese Juncao exports since 2010 and the three geopolitical scenarios in the event of missing the window.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2026-06-03T18:37:28Z</dcterms:created>
  <dcterms:modified xsi:type="dcterms:W3CDTF">2026-06-03T18:37:28Z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