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окно-закрывается"/>
    <w:p>
      <w:pPr>
        <w:pStyle w:val="Heading2"/>
      </w:pPr>
      <w:r>
        <w:t xml:space="preserve">06 — Окно закрывается</w:t>
      </w:r>
    </w:p>
    <w:p>
      <w:pPr>
        <w:pStyle w:val="FirstParagraph"/>
      </w:pPr>
      <w:r>
        <w:rPr>
          <w:i/>
          <w:iCs/>
        </w:rPr>
        <w:t xml:space="preserve">Почему временное окно составляет от трех до пяти лет, и что произойдет, если Европа его упустит.</w:t>
      </w:r>
    </w:p>
    <w:p>
      <w:pPr>
        <w:pStyle w:val="BodyText"/>
      </w:pPr>
      <w:r>
        <w:rPr>
          <w:b/>
          <w:bCs/>
        </w:rPr>
        <w:t xml:space="preserve">Содержание этого выпуска</w:t>
      </w:r>
    </w:p>
    <w:p>
      <w:pPr>
        <w:pStyle w:val="Compact"/>
        <w:numPr>
          <w:ilvl w:val="0"/>
          <w:numId w:val="1001"/>
        </w:numPr>
      </w:pPr>
      <w:r>
        <w:t xml:space="preserve">Китайское присутствие в экспорте Giant Juncao: с 2010 года активные промо-кампании в Папуа-Новой Гвинее, Фиджи, Центральноафриканской Республике, Зимбабве, Руанде и Мадагаскаре — более двенадцати тысяч фермерских хозяйств в шестнадцати провинциях восьми стран.</w:t>
      </w:r>
    </w:p>
    <w:p>
      <w:pPr>
        <w:pStyle w:val="Compact"/>
        <w:numPr>
          <w:ilvl w:val="0"/>
          <w:numId w:val="1001"/>
        </w:numPr>
      </w:pPr>
      <w:r>
        <w:t xml:space="preserve">Что означает географическое преимущество: местные селекционные станции, местные продуктовые линейки, местная база знаний, местные торговые сети — этого невозможно достичь только за счет европейских вливаний капитала.</w:t>
      </w:r>
    </w:p>
    <w:p>
      <w:pPr>
        <w:pStyle w:val="Compact"/>
        <w:numPr>
          <w:ilvl w:val="0"/>
          <w:numId w:val="1001"/>
        </w:numPr>
      </w:pPr>
      <w:r>
        <w:t xml:space="preserve">Параллель с солнечными панелями: Европа была изобретателем, Китай стал производителем, Европа стала потребителем. Без быстрого вмешательства этот сценарий повторится для BiCRS и биотоплива из Juncao.</w:t>
      </w:r>
    </w:p>
    <w:p>
      <w:pPr>
        <w:pStyle w:val="Compact"/>
        <w:numPr>
          <w:ilvl w:val="0"/>
          <w:numId w:val="1001"/>
        </w:numPr>
      </w:pPr>
      <w:r>
        <w:t xml:space="preserve">Параллель с полупроводниками: ASML показала, что европейская промышленность все еще способна создавать, когда одна компания на протяжении тридцати лет получает поддержку одного правительства. Но одна компания — это еще не целый континент.</w:t>
      </w:r>
    </w:p>
    <w:p>
      <w:pPr>
        <w:pStyle w:val="Compact"/>
        <w:numPr>
          <w:ilvl w:val="0"/>
          <w:numId w:val="1001"/>
        </w:numPr>
      </w:pPr>
      <w:r>
        <w:t xml:space="preserve">Российская цепная реакция: как только Россия лишится ископаемых энергоносителей, ее экономическая модель рухнет. Вопрос в том, кто будет поставлять замещающую энергию. Тот, кто владеет осью Juncao, владеет ответами.</w:t>
      </w:r>
    </w:p>
    <w:p>
      <w:pPr>
        <w:pStyle w:val="Compact"/>
        <w:numPr>
          <w:ilvl w:val="0"/>
          <w:numId w:val="1001"/>
        </w:numPr>
      </w:pPr>
      <w:r>
        <w:t xml:space="preserve">Американская альтернатива: кабинет юристов Трампа не строит установки BiCRS. Это приглашение, которое не будет получено.</w:t>
      </w:r>
    </w:p>
    <w:p>
      <w:pPr>
        <w:pStyle w:val="FirstParagraph"/>
      </w:pPr>
      <w:r>
        <w:rPr>
          <w:i/>
          <w:iCs/>
        </w:rPr>
        <w:t xml:space="preserve">Этот выпуск будет дополнен графиком-таймлайном китайского экспорта Juncao с 2010 года и тремя геополитическими сценариями в случае упущенного окна.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2026-06-03T18:37:30Z</dcterms:created>
  <dcterms:modified xsi:type="dcterms:W3CDTF">2026-06-03T18:37:30Z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