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ie-institutionelle-voraussetzung"/>
    <w:p>
      <w:pPr>
        <w:pStyle w:val="Heading2"/>
      </w:pPr>
      <w:r>
        <w:t xml:space="preserve">07 — Die institutionelle Voraussetzung</w:t>
      </w:r>
    </w:p>
    <w:p>
      <w:pPr>
        <w:pStyle w:val="FirstParagraph"/>
      </w:pPr>
      <w:r>
        <w:rPr>
          <w:i/>
          <w:iCs/>
        </w:rPr>
        <w:t xml:space="preserve">Wie ein Europäischer Wirtschafts-Bondsraad innerhalb eines einzigen politischen Zyklus die beiden Hebel vom Papier zum Stahl führen kann.</w:t>
      </w:r>
    </w:p>
    <w:p>
      <w:pPr>
        <w:pStyle w:val="BodyText"/>
      </w:pPr>
      <w:r>
        <w:rPr>
          <w:b/>
          <w:bCs/>
        </w:rPr>
        <w:t xml:space="preserve">Was diese Ausgabe behandelt</w:t>
      </w:r>
    </w:p>
    <w:p>
      <w:pPr>
        <w:pStyle w:val="Compact"/>
        <w:numPr>
          <w:ilvl w:val="0"/>
          <w:numId w:val="1001"/>
        </w:numPr>
      </w:pPr>
      <w:r>
        <w:t xml:space="preserve">Die Gestaltungsanforderungen an einen Europäischen Wirtschafts-Bondsraad — fünf bis sieben Mitglieder, feste mehrjährige Amtszeiten, Messungen erster Ordnung (Produktivität, CO₂, Energieautonomie) als verbindlicher Rahmen.</w:t>
      </w:r>
    </w:p>
    <w:p>
      <w:pPr>
        <w:pStyle w:val="Compact"/>
        <w:numPr>
          <w:ilvl w:val="0"/>
          <w:numId w:val="1001"/>
        </w:numPr>
      </w:pPr>
      <w:r>
        <w:t xml:space="preserve">Die Änderung von drei Richtlinien in einem Paket: Landfill Directive (um die Einlagerung von Kunststoffen als Kohlenstoffspeicher zu ermöglichen), Waste Framework Directive (um die Hausmüllverbrennung zur letzten Option herabzustufen), RED III (um die Anerkennung von Juncao-Ethanol als erneuerbar zu beschleunigen).</w:t>
      </w:r>
    </w:p>
    <w:p>
      <w:pPr>
        <w:pStyle w:val="Compact"/>
        <w:numPr>
          <w:ilvl w:val="0"/>
          <w:numId w:val="1001"/>
        </w:numPr>
      </w:pPr>
      <w:r>
        <w:t xml:space="preserve">Das politische Spiel: welche Kommissare, welche Parlamentsfraktionen, welche nationalen Regierungen den ersten Schritt machen können.</w:t>
      </w:r>
    </w:p>
    <w:p>
      <w:pPr>
        <w:pStyle w:val="Compact"/>
        <w:numPr>
          <w:ilvl w:val="0"/>
          <w:numId w:val="1001"/>
        </w:numPr>
      </w:pPr>
      <w:r>
        <w:t xml:space="preserve">Die Rolle der Wissensebene (TNO, Fraunhofer, CNRS, ETH, KNAW, Planungsbüros) als unabhängige Instanz für Messungen erster Ordnung — jenseits des Konsensmodus.</w:t>
      </w:r>
    </w:p>
    <w:p>
      <w:pPr>
        <w:pStyle w:val="Compact"/>
        <w:numPr>
          <w:ilvl w:val="0"/>
          <w:numId w:val="1001"/>
        </w:numPr>
      </w:pPr>
      <w:r>
        <w:t xml:space="preserve">Die Behandlung der Gegenargumente: koloniale Vergangenheit, Menschenrechte in den Produktionsketten, Umweltauswirkungen des Transports. Nicht wegdiskutieren, sondern im Entwurf strukturell beantworten.</w:t>
      </w:r>
    </w:p>
    <w:p>
      <w:pPr>
        <w:pStyle w:val="Compact"/>
        <w:numPr>
          <w:ilvl w:val="0"/>
          <w:numId w:val="1001"/>
        </w:numPr>
      </w:pPr>
      <w:r>
        <w:t xml:space="preserve">Das Drehbuch: fünf Jahre vom Beschluss bis zu drei betriebsbereiten Piloten, danach acht Jahre Rollout zur vollen europäischen Kapazität, danach netto-negative Emissionen.</w:t>
      </w:r>
    </w:p>
    <w:p>
      <w:pPr>
        <w:pStyle w:val="Compact"/>
        <w:numPr>
          <w:ilvl w:val="0"/>
          <w:numId w:val="1001"/>
        </w:numPr>
      </w:pPr>
      <w:r>
        <w:t xml:space="preserve">Die abschließende Entscheidung, die Europa nun trifft: Konsensmodus oder gemessene Entscheidung. Eine Zeichnung an der Wand oder eine Anlage in Brasilien und Nigeria.</w:t>
      </w:r>
    </w:p>
    <w:p>
      <w:pPr>
        <w:pStyle w:val="FirstParagraph"/>
      </w:pPr>
      <w:r>
        <w:rPr>
          <w:b/>
          <w:bCs/>
        </w:rPr>
        <w:t xml:space="preserve">Die Pressestrategie als institutionelles Instrument</w:t>
      </w:r>
    </w:p>
    <w:p>
      <w:pPr>
        <w:pStyle w:val="BodyText"/>
      </w:pPr>
      <w:r>
        <w:t xml:space="preserve">Ein Europäischer Wirtschafts-Bondsraad verfügt über ein Instrument, das bisher keine Kommission eingesetzt hat: die monatliche Veröffentlichung von sechs Seiten gemessener Fakten über die Hebel, in einer Form und Sprache, die von der breiten Presse übernommen werden kann. Ausgabe 8 beschreibt den Mechanismus. Hier die institutionelle Verankerung: Der Bondsraad erhält einen eigenen Pressedienst von fünfzehn bis zwanzig Personen — Chemieingenieure, Journalisten, Datenvisualisierer, ehemalige Redakteure —, die keine PR betreiben, sondern Faktenlieferanten sind. Ihr Output ist öffentlich, durch die Wissensebene (TNO, Fraunhofer, CNRS, Planungsbüros) kontrollierbar und wird jeden Monat an dreißig seriöse europäische Zeitungen verteilt. Dies kostet etwa drei Millionen Euro pro Jahr — weniger als ein Prozent dessen, was die derzeitigen EU-Kommunikationsabteilungen für Broschüren ausgeben, die niemand liest. Der Effekt: Innerhalb von drei Jahren sind Giant Juncao, BiCRS und die Kunststofflagerung in Tagebauen Begriffe, die jedem gebildeten europäischen Bürger vertraut sind. Innerhalb von fünf Jahren haben sich die Gewerkschaften selbst korrigiert. Innerhalb von acht Jahren arbeiten die drei Piloten kommerziell.</w:t>
      </w:r>
    </w:p>
    <w:p>
      <w:pPr>
        <w:pStyle w:val="BodyText"/>
      </w:pPr>
      <w:r>
        <w:rPr>
          <w:b/>
          <w:bCs/>
        </w:rPr>
        <w:t xml:space="preserve">Die Bildungsfunktion des öffentlich-rechtlichen Rundfunks</w:t>
      </w:r>
    </w:p>
    <w:p>
      <w:pPr>
        <w:pStyle w:val="BodyText"/>
      </w:pPr>
      <w:r>
        <w:t xml:space="preserve">Neben dem Pressedienst des Bondsraads existiert ein zweites institutionelles Instrument, das heute unzureichend genutzt wird: die verfassungsrechtliche Bildungsfunktion der öffentlich-rechtlichen Rundfunkanstalten — NPO in den Niederlanden, ARD/ZDF in Deutschland, BBC im Vereinigten Königreich, Radio France in Frankreich. Diese Rundfunkanstalten haben eine gesetzliche Bildungsverpflichtung, von der sie heute weniger als zehn Prozent ausschöpfen. Der Bondsraad gibt jährlich vier oder fünf Themen für die pädagogische Programmgestaltung vor; die Rundfunkanstalten behalten die volle redaktionelle Freiheit. Ausgabe 9 arbeitet diesen Mechanismus vollständig aus — nicht als Propaganda, sondern als Wiederfindung einer bereits bestehenden öffentlichen Funktion. Der Effekt: Das gemeinsame Wohlstandswachstum der beiden Hebel wird für die Bevölkerung sichtbar, und die Trägheit bei Gewerkschaften, Gemeinden und politischen Parteien verschwindet nicht durch Druck, sondern durch die Anerkennung des Eigeninteresses.</w:t>
      </w:r>
    </w:p>
    <w:p>
      <w:pPr>
        <w:pStyle w:val="BodyText"/>
      </w:pPr>
      <w:r>
        <w:rPr>
          <w:i/>
          <w:iCs/>
        </w:rPr>
        <w:t xml:space="preserve">Diese Ausgabe wird noch mit dem Stufenplan vom Beschluss bis zur operativen Umsetzung und den Modellregelungen, welche die drei Richtlinien ersetzen, weiter ausgearbeitet.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