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институциональное-условие"/>
    <w:p>
      <w:pPr>
        <w:pStyle w:val="Heading2"/>
      </w:pPr>
      <w:r>
        <w:t xml:space="preserve">07 — Институциональное условие</w:t>
      </w:r>
    </w:p>
    <w:p>
      <w:pPr>
        <w:pStyle w:val="FirstParagraph"/>
      </w:pPr>
      <w:r>
        <w:rPr>
          <w:i/>
          <w:iCs/>
        </w:rPr>
        <w:t xml:space="preserve">О том, как европейский экономический Bondsraad в рамках одного политического цикла способен перевести два рычага из плоскости бумаги в сталь.</w:t>
      </w:r>
    </w:p>
    <w:p>
      <w:pPr>
        <w:pStyle w:val="BodyText"/>
      </w:pPr>
      <w:r>
        <w:rPr>
          <w:b/>
          <w:bCs/>
        </w:rPr>
        <w:t xml:space="preserve">Содержание этого выпуска</w:t>
      </w:r>
    </w:p>
    <w:p>
      <w:pPr>
        <w:pStyle w:val="Compact"/>
        <w:numPr>
          <w:ilvl w:val="0"/>
          <w:numId w:val="1001"/>
        </w:numPr>
      </w:pPr>
      <w:r>
        <w:t xml:space="preserve">Требования к структуре Европейского экономического Bondsraad — от пяти до семи членов, фиксированные многолетние сроки полномочий, измерения первого порядка (производительность, CO₂, энергетическая автономия) в качестве обязательной основы.</w:t>
      </w:r>
    </w:p>
    <w:p>
      <w:pPr>
        <w:pStyle w:val="Compact"/>
        <w:numPr>
          <w:ilvl w:val="0"/>
          <w:numId w:val="1001"/>
        </w:numPr>
      </w:pPr>
      <w:r>
        <w:t xml:space="preserve">Изменение трех директив единым пакетом: Landfill Directive (чтобы сделать возможным захоронение пластика в качестве накопления углерода), Waste Framework Directive (чтобы низвести сжигание бытового мусора до статуса крайней меры), RED III (для ускоренного признания этанола из Giant Juncao возобновляемым источником энергии).</w:t>
      </w:r>
    </w:p>
    <w:p>
      <w:pPr>
        <w:pStyle w:val="Compact"/>
        <w:numPr>
          <w:ilvl w:val="0"/>
          <w:numId w:val="1001"/>
        </w:numPr>
      </w:pPr>
      <w:r>
        <w:t xml:space="preserve">Политическая игра: какие комиссары, какие парламентские фракции, какие национальные правительства способны сделать первый шаг.</w:t>
      </w:r>
    </w:p>
    <w:p>
      <w:pPr>
        <w:pStyle w:val="Compact"/>
        <w:numPr>
          <w:ilvl w:val="0"/>
          <w:numId w:val="1001"/>
        </w:numPr>
      </w:pPr>
      <w:r>
        <w:t xml:space="preserve">Роль интеллектуального слоя (TNO, Fraunhofer, CNRS, ETH, KNAW, бюро планирования) как независимого органа измерения первого порядка — вне режима консенсуса.</w:t>
      </w:r>
    </w:p>
    <w:p>
      <w:pPr>
        <w:pStyle w:val="Compact"/>
        <w:numPr>
          <w:ilvl w:val="0"/>
          <w:numId w:val="1001"/>
        </w:numPr>
      </w:pPr>
      <w:r>
        <w:t xml:space="preserve">Рассмотрение контраргументов: колониальное прошлое, права человека в производственных цепочках, воздействие транспорта на окружающую среду. Не замалчивание, а структурный ответ в рамках самой концепции.</w:t>
      </w:r>
    </w:p>
    <w:p>
      <w:pPr>
        <w:pStyle w:val="Compact"/>
        <w:numPr>
          <w:ilvl w:val="0"/>
          <w:numId w:val="1001"/>
        </w:numPr>
      </w:pPr>
      <w:r>
        <w:t xml:space="preserve">План действий: пять лет от принятия решения до запуска трех пилотных проектов, затем восемь лет развертывания до полной европейской мощности, после чего — чистые отрицательные выбросы.</w:t>
      </w:r>
    </w:p>
    <w:p>
      <w:pPr>
        <w:pStyle w:val="Compact"/>
        <w:numPr>
          <w:ilvl w:val="0"/>
          <w:numId w:val="1001"/>
        </w:numPr>
      </w:pPr>
      <w:r>
        <w:t xml:space="preserve">Заключительный выбор, который Европа делает сейчас: режим консенсуса или взвешенное решение. Рисунок на стене или установка в Бразилии и Нигерии.</w:t>
      </w:r>
    </w:p>
    <w:p>
      <w:pPr>
        <w:pStyle w:val="FirstParagraph"/>
      </w:pPr>
      <w:r>
        <w:rPr>
          <w:b/>
          <w:bCs/>
        </w:rPr>
        <w:t xml:space="preserve">Пресс-стратегия как институциональный инструмент</w:t>
      </w:r>
    </w:p>
    <w:p>
      <w:pPr>
        <w:pStyle w:val="BodyText"/>
      </w:pPr>
      <w:r>
        <w:t xml:space="preserve">У Европейского экономического Bondsraad есть один инструмент, который до сих пор не задействовала ни одна Комиссия: ежемесячная публикация шести страниц измеренных фактов о рычагах в форме и на языке, доступных для широкой прессы. Восьмой выпуск описывает этот механизм. Здесь же представлена институциональная основа: Bondsraad получает собственную пресс-службу численностью от пятнадцати до двадцати человек — инженеров-химиков, журналистов, специалистов по визуализации данных, бывших редакторов, — которые занимаются не пиаром, а выступают поставщиками фактов. Их материалы публичны, подконтрольны интеллектуальному слою (TNO, Fraunhofer, CNRS, бюро планирования) и ежемесячно рассылаются в тридцать серьезных европейских газет. Это обходится примерно в три миллиона евро в год — менее одного процента от того, что нынешние коммуникационные отделы ЕС тратят на брошюры, которые никто не читает. Эффект: в течение трех лет Giant Juncao, BiCRS и хранение пластика в карьерах станут знакомыми терминами для каждого образованного европейского гражданина. В течение пяти лет профсоюзы пересмотрят свои позиции. В течение восьми лет три пилотных проекта выйдут на коммерческую окупаемость.</w:t>
      </w:r>
    </w:p>
    <w:p>
      <w:pPr>
        <w:pStyle w:val="BodyText"/>
      </w:pPr>
      <w:r>
        <w:rPr>
          <w:b/>
          <w:bCs/>
        </w:rPr>
        <w:t xml:space="preserve">Образовательная функция общественного вещания</w:t>
      </w:r>
    </w:p>
    <w:p>
      <w:pPr>
        <w:pStyle w:val="BodyText"/>
      </w:pPr>
      <w:r>
        <w:t xml:space="preserve">Помимо пресс-службы Bondsraad, существует второй институциональный инструмент, который сегодня используется недостаточно: конституционная образовательная функция общественных вещателей — NPO в Нидерландах, ARD/ZDF в Германии, BBC в Соединенном Королевстве, Radio France во Франции. У этих вещателей есть законодательное обязательство по просвещению, которое они на сегодняшний день выполняют менее чем на десять процентов. Bondsraad ежегодно предлагает четыре или пять тем для педагогического программирования; при этом вещатели сохраняют полную редакционную свободу. Девятый выпуск полностью раскрывает этот механизм — не как пропаганду, а как возрождение уже существующей общественной функции. Результат: рост общего благосостояния за счет двух рычагов станет очевидным для населения, а инертность профсоюзов, муниципалитетов и политических партий исчезнет не под давлением, а благодаря осознанию собственных интересов.</w:t>
      </w:r>
    </w:p>
    <w:p>
      <w:pPr>
        <w:pStyle w:val="BodyText"/>
      </w:pPr>
      <w:r>
        <w:rPr>
          <w:i/>
          <w:iCs/>
        </w:rPr>
        <w:t xml:space="preserve">Этот выпуск будет дополнен пошаговым планом от принятия решения до оперативного исполнения, а также типовыми нормативными актами, заменяющими три вышеупомянутые директивы.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2026-06-03T18:37:30Z</dcterms:created>
  <dcterms:modified xsi:type="dcterms:W3CDTF">2026-06-03T18:37:30Z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