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пресса-народ-профсоюзы"/>
    <w:p>
      <w:pPr>
        <w:pStyle w:val="Heading2"/>
      </w:pPr>
      <w:r>
        <w:t xml:space="preserve">08 — Пресса, народ, профсоюзы</w:t>
      </w:r>
    </w:p>
    <w:p>
      <w:pPr>
        <w:pStyle w:val="FirstParagraph"/>
      </w:pPr>
      <w:r>
        <w:rPr>
          <w:i/>
          <w:iCs/>
        </w:rPr>
        <w:t xml:space="preserve">Тактический шарнир между проектированием и реализацией. Профсоюзы, кажется, несут на себе груз сдерживания, однако это справедливо лишь в третьем порядке. Их членская база — это народ, а народ движим прессой. Тот, кто владеет прессой, владеет народом; тот, кто владеет народом, в конечном итоге направляет профсоюзы. Механизм инверсии Парето, который приводит в движение Editie 6 и Nova Democratia без изменения единого закона.</w:t>
      </w:r>
    </w:p>
    <w:p>
      <w:pPr>
        <w:pStyle w:val="BodyText"/>
      </w:pPr>
      <w:r>
        <w:rPr>
          <w:b/>
          <w:bCs/>
        </w:rPr>
        <w:t xml:space="preserve">Инверсия Парето</w:t>
      </w:r>
    </w:p>
    <w:p>
      <w:pPr>
        <w:pStyle w:val="BodyText"/>
      </w:pPr>
      <w:r>
        <w:t xml:space="preserve">На тепловой карте 6-го издания, выпуск 9, профсоюзы представлены с весомым сдерживающим фактором на этапах со второго по пятый — именно на тех этапах, когда должна быть внедрена Nova Democratia. Общепринятый вывод гласит: ведите переговоры с профсоюзами, заключайте соглашения, идите на уступки. Это состязание, в котором проект не может победить, поскольку сохранение существующего порядка является смыслом существования профсоюза. Профсоюз, соглашающийся на фундаментальную перестройку управления, теряет свою функцию и, следовательно, свои доходы — ни одна организация не подпишет добровольно указ о собственном сокращении. Тот, кто пойдет по этому пути, получит двадцать лет переговоров и никакой перестройки.</w:t>
      </w:r>
    </w:p>
    <w:p>
      <w:pPr>
        <w:pStyle w:val="BodyText"/>
      </w:pPr>
      <w:r>
        <w:t xml:space="preserve">Однако существует и второй путь, и он лежит на поверхности в самой структуре профсоюза. Профсоюз существует лишь благодаря своим членам. Члены профсоюза — это работники. Работники — это граждане. Граждане движимы тем, что они ежедневно читают, слышат и видят. Тот, кто владеет прессой, владеет вниманием гражданина; тот, кто убедит гражданина в том, что его собственный профсоюз наносит ему вред, увидит, как союз меняет курс в течение одного-двух лет — или теряет членов. Ни один союз не переживет длительный период оттока участников. Это единственный рычаг, с помощью которого консервативная организация может скорректировать саму себя вопреки воле своего руководства. В этом нет цинизма. Именно так технически работает демократия, как только некая организация встает между гражданином и решением: гражданин остается сувереном, и если организация сопротивляется, гражданин может обойти её.</w:t>
      </w:r>
    </w:p>
    <w:p>
      <w:pPr>
        <w:pStyle w:val="BodyText"/>
      </w:pPr>
      <w:r>
        <w:rPr>
          <w:b/>
          <w:bCs/>
        </w:rPr>
        <w:t xml:space="preserve">Что пресса делает на практике</w:t>
      </w:r>
    </w:p>
    <w:p>
      <w:pPr>
        <w:pStyle w:val="BodyText"/>
      </w:pPr>
      <w:r>
        <w:t xml:space="preserve">У прессы есть три рычага, а не один. Первый рычаг: формирование повестки дня. Какие темы получают еженедельное внимание, а какие исчезают из поля зрения. Когда Giant Juncao, BiCRS и хранение пластика в карьерах в течение четырех недель появляются в Volkskrant, NRC, FAZ и Le Monde — не как колонки мнений, а как репортажи — общественное мнение меняется в течение двух месяцев. Когда те же темы годами остаются негласными (как это происходит сейчас), идеи просто не существует. Пресса посредством отбора определяет то, что существует, а что нет в общественной памяти.</w:t>
      </w:r>
    </w:p>
    <w:p>
      <w:pPr>
        <w:pStyle w:val="BodyText"/>
      </w:pPr>
      <w:r>
        <w:t xml:space="preserve">Второй рычаг: фрейминг (подача контекста). Представляется ли сжигание бытовых отходов как «устойчивое энергоснабжение» или как «производство электроэнергии с самыми высокими скрытыми издержками в Европе»? Представляется ли Giant Juncao как «китайский эксперимент в Африке» или как «европейский шанс на углеродный суверенитет»? Обе подачи фактологически обоснованы; но только вторая ведет к движению. Пресса выбирает, какой фрейминг использовать, — и этот выбор определяет, будет ли общественность за или против проекта. Тот, кто задает контекст, в течение одного года завоевывает умы граждан, а значит, и голоса на общих собраниях членов профсоюзов.</w:t>
      </w:r>
    </w:p>
    <w:p>
      <w:pPr>
        <w:pStyle w:val="BodyText"/>
      </w:pPr>
      <w:r>
        <w:t xml:space="preserve">Третий рычаг: узнаваемость личностей. Когда председатель голландского FNV изображается как сдерживающий фактор, блокирующий роттердамский пилотный проект, а сторонник Bondsraad — как прагматичный исполнитель, обеспечивающий занятость, каждый рядовой член союза FNV-Bond-Vervoer на своем рабочем месте вступает в разговор о том, кто же на самом деле защищает его работу. Именно этот разговор корректирует профсоюз — не закон, не переговоры по коллективному трудовому договору и не политические дебаты в Гааге. Разговор у кофемашины между портовыми рабочими, подпитанный десятью статьями в их ежедневной газете, — вот что заставляет профсоюз сменить курс в течение двух лет.</w:t>
      </w:r>
    </w:p>
    <w:p>
      <w:pPr>
        <w:pStyle w:val="BodyText"/>
      </w:pPr>
      <w:r>
        <w:rPr>
          <w:b/>
          <w:bCs/>
        </w:rPr>
        <w:t xml:space="preserve">Почему это не является манипуляцией</w:t>
      </w:r>
    </w:p>
    <w:p>
      <w:pPr>
        <w:pStyle w:val="BodyText"/>
      </w:pPr>
      <w:r>
        <w:t xml:space="preserve">Возможное возражение: это звучит как манипуляция общественным мнением через избирательное освещение событий. На самом деле всё ровно наоборот. В нынешней ситуации пресса делает Giant Juncao, BiCRS и хранение пластика в карьерах невозможными для обсуждения, систематически замалчивая их. Это тоже выбор — выбор, который служит интересам существующей промышленности (сжигание отходов, переработка, ископаемое топливо), даже если они не защищаются вслух. То, что предлагается здесь, — это не новая манипуляция, а устранение существующей. Дайте гражданину доступ к фактам первого порядка — продуктивности Juncao, выбросам CO₂ мусоросжигательных заводов, геологической стабильности пластика в карьерах — и позвольте ему самому сделать вывод. Он либо скорректирует свой союз, либо выйдет из него. В обоих случаях сдерживающий фактор будет устранен.</w:t>
      </w:r>
    </w:p>
    <w:p>
      <w:pPr>
        <w:pStyle w:val="BodyText"/>
      </w:pPr>
      <w:r>
        <w:rPr>
          <w:b/>
          <w:bCs/>
        </w:rPr>
        <w:t xml:space="preserve">Механизм шаг за шагом</w:t>
      </w:r>
    </w:p>
    <w:p>
      <w:pPr>
        <w:pStyle w:val="Compact"/>
        <w:numPr>
          <w:ilvl w:val="0"/>
          <w:numId w:val="1001"/>
        </w:numPr>
      </w:pPr>
      <w:r>
        <w:t xml:space="preserve">Шаг 1: Европейский экономический Bondsraad ежемесячно публикует шесть страниц с измеренными фактами о двух рычагах — продуктивности, выбросах, стабильности хранения, географическом преимуществе конкурентов — в форме и на языке, которые могут быть восприняты широкой прессой.</w:t>
      </w:r>
    </w:p>
    <w:p>
      <w:pPr>
        <w:pStyle w:val="Compact"/>
        <w:numPr>
          <w:ilvl w:val="0"/>
          <w:numId w:val="1001"/>
        </w:numPr>
      </w:pPr>
      <w:r>
        <w:t xml:space="preserve">Шаг 2: От трёх до пяти серьезных европейских газет принимают эти цифры всерьез и еженедельно публикуют репортажи, а не статьи с мнениями.</w:t>
      </w:r>
    </w:p>
    <w:p>
      <w:pPr>
        <w:pStyle w:val="Compact"/>
        <w:numPr>
          <w:ilvl w:val="0"/>
          <w:numId w:val="1001"/>
        </w:numPr>
      </w:pPr>
      <w:r>
        <w:t xml:space="preserve">Шаг 3: Граждане читают о Giant Juncao и хранении пластика в карьерах. В течение трех месяцев они узнают, что существует альтернатива сжиганию отходов и что их действующее законодательство блокирует эти альтернативы.</w:t>
      </w:r>
    </w:p>
    <w:p>
      <w:pPr>
        <w:pStyle w:val="Compact"/>
        <w:numPr>
          <w:ilvl w:val="0"/>
          <w:numId w:val="1001"/>
        </w:numPr>
      </w:pPr>
      <w:r>
        <w:t xml:space="preserve">Шаг 4: В повестку дня общих собраний членов профсоюзов включаются пункты о позиции их союза относительно двух рычагов. Сначала это происходит эпизодически, через год становится стандартом.</w:t>
      </w:r>
    </w:p>
    <w:p>
      <w:pPr>
        <w:pStyle w:val="Compact"/>
        <w:numPr>
          <w:ilvl w:val="0"/>
          <w:numId w:val="1001"/>
        </w:numPr>
      </w:pPr>
      <w:r>
        <w:t xml:space="preserve">Шаг 5: Профсоюзы, упорствующие в блокировке, теряют членов — особенно молодых сотрудников, которые видят перспективы занятости в новых отраслях. Профсоюзы, следующие за изменениями, растут.</w:t>
      </w:r>
    </w:p>
    <w:p>
      <w:pPr>
        <w:pStyle w:val="Compact"/>
        <w:numPr>
          <w:ilvl w:val="0"/>
          <w:numId w:val="1001"/>
        </w:numPr>
      </w:pPr>
      <w:r>
        <w:t xml:space="preserve">Шаг 6: В течение двух-трёх лет эффект блокировки со стороны союзов исчезает — не благодаря законодательству, а в результате самокоррекции.</w:t>
      </w:r>
    </w:p>
    <w:p>
      <w:pPr>
        <w:pStyle w:val="FirstParagraph"/>
      </w:pPr>
      <w:r>
        <w:rPr>
          <w:b/>
          <w:bCs/>
        </w:rPr>
        <w:t xml:space="preserve">Роль интеллектуального слоя</w:t>
      </w:r>
    </w:p>
    <w:p>
      <w:pPr>
        <w:pStyle w:val="BodyText"/>
      </w:pPr>
      <w:r>
        <w:t xml:space="preserve">Выпуск 11 Editie 6 представил интеллектуальный слой как союзника — университеты, бюро планирования, консультативные советы, исследовательские институты. Здесь этот слой вступает в действие как поставщик фактов, которые распространяет пресса. Когда TNO, Fraunhofer, ETH Zürich и CPB публикуют совместные отчеты о продуктивности Giant Juncao, балансе CO₂ при хранении пластика в карьерах и реальных выбросах на кВт·ч мусоросжигательных заводов, пресса получает материал, который ни один редактор не сможет игнорировать. Интеллектуальный слой обеспечивает измерение первого порядка; пресса обеспечивает распространение; гражданин обеспечивает голос; профсоюз корректирует себя сам.</w:t>
      </w:r>
    </w:p>
    <w:p>
      <w:pPr>
        <w:pStyle w:val="BodyText"/>
      </w:pPr>
      <w:r>
        <w:rPr>
          <w:b/>
          <w:bCs/>
        </w:rPr>
        <w:t xml:space="preserve">Позитивная инверсия — когда пирог растет</w:t>
      </w:r>
    </w:p>
    <w:p>
      <w:pPr>
        <w:pStyle w:val="BodyText"/>
      </w:pPr>
      <w:r>
        <w:t xml:space="preserve">Описанное выше — это механизм давления: предоставление фактов, выбор фрейминга, установление узнаваемости личностей, в результате чего профсоюзы корректируют себя или теряют членов. Это работает, но работает через сопротивление. Существует второй, более мощный механизм, который подробно описан в выпуске 9: когда два рычага запускаются в промышленном масштабе, появляется больше материальных благ для распределения между всеми — десятки миллиардов евро нового промышленного оборота для Европы, сотни миллиардов прямых инвестиций для Южной Америки и Африки, структурная экономия на климатическом ущербе и санкциях. В растущем пироге никому не приходится ни от чего отказываться. У профсоюзов появляется больше тем для переговоров, а не меньше; муниципалитеты получают больше налоговых поступлений; работники получают более высокие зарплаты и лучшие пенсии. Конституционная просветительская функция NPO, ARD/ZDF, BBC и Radio France является тем каналом, через который этот совместный рост благосостояния может быть разъяснен населению — не как пропаганда, а как исполнение уже существующего мандата СМИ. Выпуск 9 полностью раскрывает эту тему.</w:t>
      </w:r>
    </w:p>
    <w:p>
      <w:pPr>
        <w:pStyle w:val="BodyText"/>
      </w:pPr>
      <w:r>
        <w:rPr>
          <w:b/>
          <w:bCs/>
        </w:rPr>
        <w:t xml:space="preserve">Кто не хочет этого видеть</w:t>
      </w:r>
    </w:p>
    <w:p>
      <w:pPr>
        <w:pStyle w:val="BodyText"/>
      </w:pPr>
      <w:r>
        <w:t xml:space="preserve">Этот механизм не является секретом. Каждый в европейском руководстве знает о нем. Но его избегают по той же причине, по которой избегают двух рычагов: это нарушило бы существующее распределение сил. Индустрия переработки потеряет субсидии. Мусоросжигатели потеряют лицензии. Профсоюзы потеряют свою идентичность. Политические партии потеряют свои программные установки. Тот, кто запускает цепочку такой самокоррекции, через пять лет пожнет неузнаваемый ландшафт. В этом и заключается цель. Перестройка, которую предлагает Nova Democratia, требует, чтобы европейский ландшафт стал неузнаваемым — не только институционально, но и промышленно, профсоюзно и медийно. Пресса здесь — не оружие, а канал, через который фактическая реальность обретает силу принуждать процедуры третьего порядка.</w:t>
      </w:r>
    </w:p>
    <w:p>
      <w:pPr>
        <w:pStyle w:val="BodyText"/>
      </w:pPr>
      <w:r>
        <w:rPr>
          <w:i/>
          <w:iCs/>
        </w:rPr>
        <w:t xml:space="preserve">Этот выпуск всё еще находится в стадии доработки с конкретной медиа-стратегией для каждого пилотного проекта, списком европейских газет и редакторов, а также планом первых двенадцати публикаций.</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2026-06-03T18:37:30Z</dcterms:created>
  <dcterms:modified xsi:type="dcterms:W3CDTF">2026-06-03T18:37:30Z</dcterms:modified>
</cp:coreProperties>
</file>

<file path=docProps/custom.xml><?xml version="1.0" encoding="utf-8"?>
<Properties xmlns="http://schemas.openxmlformats.org/officeDocument/2006/custom-properties" xmlns:vt="http://schemas.openxmlformats.org/officeDocument/2006/docPropsVTypes"/>
</file>