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areto-in-fünf-jahren"/>
    <w:p>
      <w:pPr>
        <w:pStyle w:val="Heading2"/>
      </w:pPr>
      <w:r>
        <w:t xml:space="preserve">11 — Pareto in fünf Jahren</w:t>
      </w:r>
    </w:p>
    <w:p>
      <w:pPr>
        <w:pStyle w:val="FirstParagraph"/>
      </w:pPr>
      <w:r>
        <w:rPr>
          <w:i/>
          <w:iCs/>
        </w:rPr>
        <w:t xml:space="preserve">Edition 6 zählte vierzehn Akteure, die zusammen 9.175 Punkte Bremsgewicht gegen Nova Democratia aufbrachten. Wenn die Editionen 6 und 7 im Verbund ausgeführt werden — Bondsraad, Ersetzung von drei Richtlinien, drei Scharniermechanismen — sinkt dieses Bremsgewicht innerhalb von fünf Jahren auf 5.350 Punkte. Eine Abnahme von zweiundvierzig Prozent. Nicht durch ein einziges Gesetz, sondern durch dreizehn gleichzeitige Verschiebungen, die jeweils ihrem eigenen Mechanismus folgen. Diese Episode zeigt, wo und wodurch.</w:t>
      </w:r>
    </w:p>
    <w:p>
      <w:pPr>
        <w:pStyle w:val="BodyText"/>
      </w:pPr>
      <w:r>
        <w:rPr>
          <w:b/>
          <w:bCs/>
        </w:rPr>
        <w:t xml:space="preserve">Was die Grafik zeigt</w:t>
      </w:r>
    </w:p>
    <w:p>
      <w:pPr>
        <w:pStyle w:val="BodyText"/>
      </w:pPr>
      <w:r>
        <w:t xml:space="preserve">Die roten Balken sind die Blockadescores aus Edition 6, Episode 2 — gemessen im Jahr zwanzigsechsundzwanzig, vor jeglicher Umsetzung von Nova Democratia. Die grünen Balken sind die projizierten Werte im Jahr zwanzigeinunddreißig, wenn der Bondsraad operativ ist, die drei EU-richtlijnen ersetzt wurden und die drei Scharniermechanismen der Episoden acht, neun und zehn aktiv sind. Jede Senkung wird durch ein oder zwei spezifische Mechanismen verursacht — kein einziger Akteur wird gezwungen, kein einziger Akteur wird enteignet, kein einziger Akteur verschwindet. Alle bleiben bestehen; nur ihr blockierendes Gewicht verschiebt sich.</w:t>
      </w:r>
    </w:p>
    <w:p>
      <w:pPr>
        <w:pStyle w:val="BodyText"/>
      </w:pPr>
      <w:r>
        <w:t xml:space="preserve">Drei Akteure verschwinden nahezu als Bremsgewicht und werden zu Verbündeten.</w:t>
      </w:r>
      <w:r>
        <w:t xml:space="preserve"> </w:t>
      </w:r>
      <w:r>
        <w:rPr>
          <w:b/>
          <w:bCs/>
        </w:rPr>
        <w:t xml:space="preserve">NPO und Journalisten</w:t>
      </w:r>
      <w:r>
        <w:t xml:space="preserve"> </w:t>
      </w:r>
      <w:r>
        <w:t xml:space="preserve">sinken von sechshundertfünfundzwanzig auf zweihundertvierzig (eine Abnahme von zweiundsechzig Prozent), indem die Lernfunktion aus Episode neun aktiviert wird — die Presse erhält endlich das Material und das Mandat, das sie verfassungsrechtlich bereits besitzt.</w:t>
      </w:r>
      <w:r>
        <w:t xml:space="preserve"> </w:t>
      </w:r>
      <w:r>
        <w:rPr>
          <w:b/>
          <w:bCs/>
        </w:rPr>
        <w:t xml:space="preserve">Universitäten und Hochschulen</w:t>
      </w:r>
      <w:r>
        <w:t xml:space="preserve"> </w:t>
      </w:r>
      <w:r>
        <w:t xml:space="preserve">sinken von fünfhundertachtzig auf zweihundertzwanzig (sechsundsechzig Prozent), da der KI-Druck und die Nova Democratia-Finanzierung sie aktiv in Bewegung setzen, wie in Episode zehn beschrieben.</w:t>
      </w:r>
      <w:r>
        <w:t xml:space="preserve"> </w:t>
      </w:r>
      <w:r>
        <w:rPr>
          <w:b/>
          <w:bCs/>
        </w:rPr>
        <w:t xml:space="preserve">KNAW und akademische Dachverbände</w:t>
      </w:r>
      <w:r>
        <w:t xml:space="preserve"> </w:t>
      </w:r>
      <w:r>
        <w:t xml:space="preserve">sinken von vierhundertfünfundzwanzig auf einhundertachtzig (achtundfünfzig Prozent), wenn die Wissensschicht zum Verbündeten wird und nicht mehr als prozedurale Bremse, sondern als Beschleuniger fungiert.</w:t>
      </w:r>
    </w:p>
    <w:p>
      <w:pPr>
        <w:pStyle w:val="BodyText"/>
      </w:pPr>
      <w:r>
        <w:t xml:space="preserve">Drei andere Akteure sinken stark, bleiben aber als Gewicht präsent — als Gesprächspartner, nicht mehr als Blockade.</w:t>
      </w:r>
      <w:r>
        <w:t xml:space="preserve"> </w:t>
      </w:r>
      <w:r>
        <w:rPr>
          <w:b/>
          <w:bCs/>
        </w:rPr>
        <w:t xml:space="preserve">Politische Parteien auf der Agenda</w:t>
      </w:r>
      <w:r>
        <w:t xml:space="preserve"> </w:t>
      </w:r>
      <w:r>
        <w:t xml:space="preserve">sinken von achthundertfünf auf dreihundertzwanzig, wenn sich Bevölkerung und Gewerkschaften über die drei Scharniere bewegen; keine Partei verschwindet, aber der Widerstand der oberen Schicht wird unhaltbar, wenn die untere Schicht gekippt ist.</w:t>
      </w:r>
      <w:r>
        <w:t xml:space="preserve"> </w:t>
      </w:r>
      <w:r>
        <w:rPr>
          <w:b/>
          <w:bCs/>
        </w:rPr>
        <w:t xml:space="preserve">Bildungsgewerkschaften</w:t>
      </w:r>
      <w:r>
        <w:t xml:space="preserve"> </w:t>
      </w:r>
      <w:r>
        <w:t xml:space="preserve">und</w:t>
      </w:r>
      <w:r>
        <w:t xml:space="preserve"> </w:t>
      </w:r>
      <w:r>
        <w:rPr>
          <w:b/>
          <w:bCs/>
        </w:rPr>
        <w:t xml:space="preserve">Beamtengewerkschaften</w:t>
      </w:r>
      <w:r>
        <w:t xml:space="preserve"> </w:t>
      </w:r>
      <w:r>
        <w:t xml:space="preserve">sinken vergleichbar — fünfzig Prozent oder mehr — durch dieselbe Kombination aus Pressedruck und wachsendem Kuchen.</w:t>
      </w:r>
      <w:r>
        <w:t xml:space="preserve"> </w:t>
      </w:r>
      <w:r>
        <w:rPr>
          <w:b/>
          <w:bCs/>
        </w:rPr>
        <w:t xml:space="preserve">Etablierte Parteien auf Existenzberechtigung</w:t>
      </w:r>
      <w:r>
        <w:t xml:space="preserve"> </w:t>
      </w:r>
      <w:r>
        <w:t xml:space="preserve">sinken von sechshundertfünfundvierzig auf dreihundertfünfzig, wenn die Lernfunktion und die Bevölkerung die Stimmung strukturell verändern.</w:t>
      </w:r>
    </w:p>
    <w:p>
      <w:pPr>
        <w:pStyle w:val="BodyText"/>
      </w:pPr>
      <w:r>
        <w:t xml:space="preserve">Vier Akteure sinken moderat und bleiben signifikant präsent:</w:t>
      </w:r>
      <w:r>
        <w:t xml:space="preserve"> </w:t>
      </w:r>
      <w:r>
        <w:rPr>
          <w:b/>
          <w:bCs/>
        </w:rPr>
        <w:t xml:space="preserve">EU-recht en verdragen</w:t>
      </w:r>
      <w:r>
        <w:t xml:space="preserve"> </w:t>
      </w:r>
      <w:r>
        <w:t xml:space="preserve">(fünfhundertvierzig),</w:t>
      </w:r>
      <w:r>
        <w:t xml:space="preserve"> </w:t>
      </w:r>
      <w:r>
        <w:rPr>
          <w:b/>
          <w:bCs/>
        </w:rPr>
        <w:t xml:space="preserve">beamtenschaftliche Spitze und Dashboard</w:t>
      </w:r>
      <w:r>
        <w:t xml:space="preserve"> </w:t>
      </w:r>
      <w:r>
        <w:t xml:space="preserve">(vierhundertachtzig),</w:t>
      </w:r>
      <w:r>
        <w:t xml:space="preserve"> </w:t>
      </w:r>
      <w:r>
        <w:rPr>
          <w:b/>
          <w:bCs/>
        </w:rPr>
        <w:t xml:space="preserve">Raad van State</w:t>
      </w:r>
      <w:r>
        <w:t xml:space="preserve"> </w:t>
      </w:r>
      <w:r>
        <w:t xml:space="preserve">(fünfhundertzehn) und der</w:t>
      </w:r>
      <w:r>
        <w:t xml:space="preserve"> </w:t>
      </w:r>
      <w:r>
        <w:rPr>
          <w:b/>
          <w:bCs/>
        </w:rPr>
        <w:t xml:space="preserve">juristischer Sektor</w:t>
      </w:r>
      <w:r>
        <w:t xml:space="preserve"> </w:t>
      </w:r>
      <w:r>
        <w:t xml:space="preserve">(vierhundertsechzig). Ihr Bremsgewicht ist nicht ideologisch, sondern institutionell-prozedural. Selbst unter Nova Democratia bleiben juristische Prüfung, beamtenschaftliche Dashboard-Praxis und europäisches Recht eine gewichtige Bremse. Das ist gut — es ist genau ihre Funktion. Was sich ändert, ist, dass ihre Bremse nicht mehr die Richtung bestimmt, sondern die Geschwindigkeit, mit der die Richtung eingeschlagen wird. Sie sind dann keine Blockade mehr, sondern ein Korrektiv.</w:t>
      </w:r>
    </w:p>
    <w:p>
      <w:pPr>
        <w:pStyle w:val="BodyText"/>
      </w:pPr>
      <w:r>
        <w:rPr>
          <w:b/>
          <w:bCs/>
        </w:rPr>
        <w:t xml:space="preserve">Der Pareto-Effekt: achtzig Prozent durch sieben Akteure</w:t>
      </w:r>
    </w:p>
    <w:p>
      <w:pPr>
        <w:pStyle w:val="BodyText"/>
      </w:pPr>
      <w:r>
        <w:t xml:space="preserve">In Edition 6 lag achtzig Prozent des Bremsgewichts bei den obersten zwölf Akteuren. Unter Nova Democratia verschiebt sich diese Konzentration. Die obersten vier — EU-recht, beamtenschaftliche Spitze, Raad van State, juristischer Sektor — liefern zusammen künftig fast vierzig Prozent der verbleibenden Blockade, allesamt prozeduraler Natur. Die verbleibenden sechzig Prozent verteilen sich auf acht Akteure, die jeweils weniger als zehn Prozent beisteuern und mit denen durch bemessene Gespräche Fortschritte möglich sind. Das System wird</w:t>
      </w:r>
      <w:r>
        <w:t xml:space="preserve"> </w:t>
      </w:r>
      <w:r>
        <w:rPr>
          <w:b/>
          <w:bCs/>
        </w:rPr>
        <w:t xml:space="preserve">gestaltbar</w:t>
      </w:r>
      <w:r>
        <w:t xml:space="preserve"> </w:t>
      </w:r>
      <w:r>
        <w:t xml:space="preserve">— die Pareto-Kurve wird flacher, und genau das ist es, was eine bemessene Regierungsführung benötigt: weniger einzelne Blockaden mit unverhältnismäßiger Macht, mehr verteilte Gespräche mit angemessenem Gewicht.</w:t>
      </w:r>
    </w:p>
    <w:p>
      <w:pPr>
        <w:pStyle w:val="BodyText"/>
      </w:pPr>
      <w:r>
        <w:rPr>
          <w:b/>
          <w:bCs/>
        </w:rPr>
        <w:t xml:space="preserve">Die drei Scharniere in Zahlen</w:t>
      </w:r>
    </w:p>
    <w:p>
      <w:pPr>
        <w:pStyle w:val="BodyText"/>
      </w:pPr>
      <w:r>
        <w:t xml:space="preserve">Die Grafik macht sichtbar, was die Episoden acht, neun und zehn einzeln erläutert haben. Der Druckmechanismus von Episode acht — Presse, Volk, Gewerkschaften — bewirkt ein Sinken bei vier Akteuren (politische Parteien, Bildungsgewerkschaften, Beamtengewerkschaften, Eerste Kamer): zusammen etwa vierzehnhundert Punkte weniger Blockade. Der Zugmechanismus von Episode neun — Lernfunktion des öffentlich-rechtlichen Rundfunks — bewirkt ein Sinken bei drei Akteuren (NPO/Journalisten, etablierte Parteien, Lobbyverbände): zusammen etwa neunhundert Punkte weniger. Der Überlebensmechanismus von Episode zehn — Universitäten in der KI-Welt — bewirkt ein Sinken bei drei Akteuren (Universitäten, Schulvorstände, KNAW): zusammen etwa achthundert Punkte weniger. Der institutionelle Austausch — drei EU-richtlijnen, Bondsraad — bewirkt ein Sinken bei vier Akteuren (EU-recht, beamtenschaftliche Spitze, Raad van State, juristischer Sektor): zusammen etwa siebenhundert Punkte weniger. Vier Mechanismen, insgesamt über zweitausendneunhundert Punkte Rückgang.</w:t>
      </w:r>
    </w:p>
    <w:p>
      <w:pPr>
        <w:pStyle w:val="BodyText"/>
      </w:pPr>
      <w:r>
        <w:rPr>
          <w:b/>
          <w:bCs/>
        </w:rPr>
        <w:t xml:space="preserve">Was dazu nötig ist</w:t>
      </w:r>
    </w:p>
    <w:p>
      <w:pPr>
        <w:pStyle w:val="BodyText"/>
      </w:pPr>
      <w:r>
        <w:t xml:space="preserve">Die Grafik ist eine Projektion, keine Vorhersage. Sie gilt unter einer Bedingung: dass die Ausführung tatsächlich gleichzeitig stattfindet, nicht sequenziell. Wer nur die drei Richtlinien ersetzt, ohne die Scharniere zu aktivieren, wird vier oder fünf Akteure mitnehmen, während der Rest stehen bleibt — Gesamteffekt etwa zwanzig Prozent Rückgang, nicht zweiundvierzig. Wer nur die Scharniere aktiviert ohne institutionellen Austausch, bringt sechs oder sieben Akteure in Bewegung, verfehlt aber das EU-rechtliche Fundament — Gesamteffekt etwa dreißig Prozent. Erst wenn beide gleichzeitig ineinandergreifen, tritt der volle Effekt ein. Dies ist keine ideologische Präferenz, sondern Pareto-Arithmetik: Drei Scharniere plus institutioneller Austausch wirken nicht additiv, sondern multiplikativ.</w:t>
      </w:r>
    </w:p>
    <w:p>
      <w:pPr>
        <w:pStyle w:val="BodyText"/>
      </w:pPr>
      <w:r>
        <w:rPr>
          <w:b/>
          <w:bCs/>
        </w:rPr>
        <w:t xml:space="preserve">Wo die Bewegungen ausgeführt werden</w:t>
      </w:r>
    </w:p>
    <w:p>
      <w:pPr>
        <w:pStyle w:val="BodyText"/>
      </w:pPr>
      <w:r>
        <w:t xml:space="preserve">Für jeden Akteur in der Grafik existiert eine erkennbare Gesprächsebene. EU-recht en verdragen: die Kommission und das Europäische Parlament in einem neuen industriell-strategischen Trilog, den der Bondsraad initiiert. Politische Parteien auf der Agenda: die Fraktionsvorsitzenden in den nationalen Parlamenten über gezielte technische Briefings der Wissensschicht. Bildungs- und Beamtengewerkschaften: ihre jährlichen Generalversammlungen, gespeist durch die regionale Presse. Beamtenschaftliche Spitze: die SG- und DG-Konferenzen, die jährlich in Brüssel und den nationalen Hauptstädten stattfinden. Schulvorstände: ihre nationalen Dachverbände (PO-Raad, VO-Raad). NPO und Journalisten: die Vorstände und Chefredaktionen von NOS, Volkskrant, NRC, FAZ, Le Monde. Universitäten: Rectores Magnifici und Universitätsvorsitzende. Lobbyverbände: VNO-NCW, BDI, MEDEF in einer neuen formalen Zusammenarbeit mit dem Bondsraad.</w:t>
      </w:r>
    </w:p>
    <w:p>
      <w:pPr>
        <w:pStyle w:val="BodyText"/>
      </w:pPr>
      <w:r>
        <w:t xml:space="preserve">Dies sind dreißig bis vierzig Schlüsselgespräche in fünf Jahren — weniger als ein durchschnittlicher Brüsseler Trilog über eine Richtlinie. Es ist keine unmögliche Aufgabe; es ist der normale Maßstab europäischer Verwaltungsarbeit. Was heute fehlt, ist nicht die Kapazität, diese Gespräche zu führen, sondern der Rahmen, in dem sie bedeutungsvoll geführt werden können. Nova Democratia ist dieser Rahmen. Der Bondsraad ist ihr Verhandlungstisch. Die zwei Hebel — Giant Juncao und Plastikspeicherung — sind die konkrete Agenda. Die drei Scharniere machen die andere Seite des Tisches kippbar.</w:t>
      </w:r>
    </w:p>
    <w:p>
      <w:pPr>
        <w:pStyle w:val="BodyText"/>
      </w:pPr>
      <w:r>
        <w:rPr>
          <w:b/>
          <w:bCs/>
        </w:rPr>
        <w:t xml:space="preserve">Die kritische Anmerkung</w:t>
      </w:r>
    </w:p>
    <w:p>
      <w:pPr>
        <w:pStyle w:val="BodyText"/>
      </w:pPr>
      <w:r>
        <w:t xml:space="preserve">Eines muss ehrlich gesagt werden. Diese Grafik zeigt, was statistisch und strategisch möglich ist, wenn alle Entwurfsannahmen stimmen. Das ist nicht dasselbe wie das, was in der Realität geschieht. Vierzig Prozent Rückgang in fünf Jahren ist eine ehrgeizige Projektion, vergleichbar mit der Produktivitätssteigerung von Mais zwischen neunzehnhundertfünfzig und neunzehnhundertsiebzig. Es ist keine Gesetzmäßigkeit; es ist eine Möglichkeit, wenn alle Elemente zusammenwirken. In der tatsächlichen Ausführung werden unerwartete Verzögerungen, Fehler und Rückschläge auftreten. Zwei Scharniere werden schneller arbeiten als vorgesehen, eines langsamer. Eine Richtlinie wird von einem Mitgliedstaat blockiert werden, eine andere wird schneller als erwartet angenommen sein. Die Grafik zeigt eine Größenordnung, kein exaktes Ergebnis. Was sie bedeutet, ist: Das Bremsgewicht kann einschneidend sinken, wenn der Entwurf zusammenhängend ausgeführt wird. Kein Wunder, keine Utopie, sondern eine praktikable Reduktion bewahrender Kräfte auf ein Niveau, auf dem der neue Verwaltungsentwurf Atemraum erhält.</w:t>
      </w:r>
    </w:p>
    <w:p>
      <w:pPr>
        <w:pStyle w:val="BodyText"/>
      </w:pPr>
      <w:r>
        <w:rPr>
          <w:b/>
          <w:bCs/>
        </w:rPr>
        <w:t xml:space="preserve">Die Frage an den Leser</w:t>
      </w:r>
    </w:p>
    <w:p>
      <w:pPr>
        <w:pStyle w:val="BodyText"/>
      </w:pPr>
      <w:r>
        <w:t xml:space="preserve">Wer diese Grafik sieht und sich fragt, wo er oder sie in dieser Landschaft steht, tut genau das, was Het Open Vizier beabsichtigt. Sind Sie Professor in Wageningen? Ihre Fakultät verschiebt sich in fünf Jahren von zweihundertzwanzig auf möglicherweise viel weniger, und Ihre Forschung erhält neuen Raum. Sind Sie Redakteur bei der Volkskrant? Ihre Rolle verschiebt sich von der Blockade zum Motor, mit all dem Arbeitsmaterial, das der Pressedienst des Bondsraad liefert. Sind Sie FNV-Funktionär im Hafensektor? Ihre Gewerkschaft erhält eine neue Identität als europäischer Arbeitnehmerverband für klimapositive Industrie. Sind Sie D66-Abgeordneter? Ihre Fraktion erhält endlich die zusammenhängende Industriepolitik, die sie seit zwanzig Jahren sucht. Sind Sie mit dieser Materie nicht vertraut, lesen aber gerne die Zeitung am Sonntagmorgen? Ihr Beitrag ist es, diese Geschichte weiterzuerzählen — einem Freund, einem Familienmitglied, einem Kollegen. Neun Menschen am Tisch, die von Giant Juncao gehört haben, sind mehr wert als fünf neue Gesetze in Brüssel.</w:t>
      </w:r>
    </w:p>
    <w:p>
      <w:pPr>
        <w:pStyle w:val="BodyText"/>
      </w:pPr>
      <w:r>
        <w:t xml:space="preserve">Das ist es, was Het Open Vizier veröffentlicht: keinen Plan, der ausgeführt wird, sondern einen Entwurf, der eröffnet wird. Was damit geschieht, entscheidet der Leser. Episode zwölf führt diesen Punkt weiter aus.</w:t>
      </w:r>
    </w:p>
    <w:p>
      <w:pPr>
        <w:pStyle w:val="BodyText"/>
      </w:pPr>
      <w:r>
        <w:rPr>
          <w:i/>
          <w:iCs/>
        </w:rPr>
        <w:t xml:space="preserve">Diese Episode wird noch mit einer interaktiven Version der Grafik ausgearbeitet, in der jeder Akteur für den vollständigen Scharniermechanismus anklickbar ist, sowie mit einem zweiten Vergleich, der die Zehn-Jahres-Projektion zeigt.</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2026-06-03T18:37:26Z</dcterms:created>
  <dcterms:modified xsi:type="dcterms:W3CDTF">2026-06-03T18:37:26Z</dcterms:modified>
</cp:coreProperties>
</file>

<file path=docProps/custom.xml><?xml version="1.0" encoding="utf-8"?>
<Properties xmlns="http://schemas.openxmlformats.org/officeDocument/2006/custom-properties" xmlns:vt="http://schemas.openxmlformats.org/officeDocument/2006/docPropsVTypes"/>
</file>