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парето-через-пять-лет"/>
    <w:p>
      <w:pPr>
        <w:pStyle w:val="Heading2"/>
      </w:pPr>
      <w:r>
        <w:t xml:space="preserve">11 — Парето через пять лет</w:t>
      </w:r>
    </w:p>
    <w:p>
      <w:pPr>
        <w:pStyle w:val="FirstParagraph"/>
      </w:pPr>
      <w:r>
        <w:rPr>
          <w:i/>
          <w:iCs/>
        </w:rPr>
        <w:t xml:space="preserve">В шестом выпуске было представлено четырнадцать акторов, которые вместе создавали девять тысяч сто семьдесят пять баллов тормозящего веса против Nova Democratia. Если шестой и седьмой выпуски будут реализованы в тесной взаимосвязи — Bondsraad, замена трех директив, три шарнирных механизма — этот тормозящий вес в течение пяти лет снизится до пяти тысяч трехсот пятидесяти баллов. Снижение на сорок два процента. Не благодаря одному закону, а посредством тринадцати одновременных сдвигов, каждый из которых следует своему собственному механизму. Этот выпуск показывает, где и за счет чего это происходит.</w:t>
      </w:r>
    </w:p>
    <w:p>
      <w:pPr>
        <w:pStyle w:val="BodyText"/>
      </w:pPr>
      <w:r>
        <w:rPr>
          <w:b/>
          <w:bCs/>
        </w:rPr>
        <w:t xml:space="preserve">Что показывает график</w:t>
      </w:r>
    </w:p>
    <w:p>
      <w:pPr>
        <w:pStyle w:val="BodyText"/>
      </w:pPr>
      <w:r>
        <w:t xml:space="preserve">Красные столбцы — это показатели блокировки из шестого выпуска, второго эпизода, измеренные в две тысячи двадцать шестом году, до начала какой-либо реализации Nova Democratia. Зеленые столбцы — это прогнозируемые показатели в две тысячи тридцать первом году, когда Bondsraad будет функционировать, три директивы ЕС будут заменены, а три шарнирных механизма из восьмого, девятого и десятого эпизодов будут активны. Каждое снижение вызвано одним или двумя специфическими механизмами — ни один актор не подвергается принуждению, ни один актор не экспроприируется, ни один актор не исчезает. Все продолжают существовать; смещается лишь их блокирующий вес.</w:t>
      </w:r>
    </w:p>
    <w:p>
      <w:pPr>
        <w:pStyle w:val="BodyText"/>
      </w:pPr>
      <w:r>
        <w:t xml:space="preserve">Три актора практически перестают быть тормозящим весом и становятся союзниками.</w:t>
      </w:r>
      <w:r>
        <w:t xml:space="preserve"> </w:t>
      </w:r>
      <w:r>
        <w:rPr>
          <w:b/>
          <w:bCs/>
        </w:rPr>
        <w:t xml:space="preserve">NPO и журналисты</w:t>
      </w:r>
      <w:r>
        <w:t xml:space="preserve"> </w:t>
      </w:r>
      <w:r>
        <w:t xml:space="preserve">снижаются с шестисот двадцати пяти до двухсот сорока (падение на шестьдесят два процента) благодаря активации обучающей функции из девятого выпуска — пресса, наконец, получает материалы и мандат, которыми она уже обладает конституционно.</w:t>
      </w:r>
      <w:r>
        <w:t xml:space="preserve"> </w:t>
      </w:r>
      <w:r>
        <w:rPr>
          <w:b/>
          <w:bCs/>
        </w:rPr>
        <w:t xml:space="preserve">Университеты и высшие школы</w:t>
      </w:r>
      <w:r>
        <w:t xml:space="preserve"> </w:t>
      </w:r>
      <w:r>
        <w:t xml:space="preserve">снижаются с пятисот восьмидесяти до двухсот двадцати (шестьдесят шесть процентов), поскольку давление ИИ и финансирование Nova Democratia активно побуждают их к движению, как описано в десятом выпуске.</w:t>
      </w:r>
      <w:r>
        <w:t xml:space="preserve"> </w:t>
      </w:r>
      <w:r>
        <w:rPr>
          <w:b/>
          <w:bCs/>
        </w:rPr>
        <w:t xml:space="preserve">KNAW и академические объединения</w:t>
      </w:r>
      <w:r>
        <w:t xml:space="preserve"> </w:t>
      </w:r>
      <w:r>
        <w:t xml:space="preserve">снижаются с четырехсот двадцати пяти до ста восьмидесяти (пятьдесят восемь процентов), когда интеллектуальный слой становится союзником и перестает действовать как процедурный тормоз, становясь ускорителем.</w:t>
      </w:r>
    </w:p>
    <w:p>
      <w:pPr>
        <w:pStyle w:val="BodyText"/>
      </w:pPr>
      <w:r>
        <w:t xml:space="preserve">Три других актора значительно снижаются, но остаются весомыми — как партнеры по диалогу, а не как блокирующая сила.</w:t>
      </w:r>
      <w:r>
        <w:t xml:space="preserve"> </w:t>
      </w:r>
      <w:r>
        <w:rPr>
          <w:b/>
          <w:bCs/>
        </w:rPr>
        <w:t xml:space="preserve">Политические партии в повестке дня</w:t>
      </w:r>
      <w:r>
        <w:t xml:space="preserve"> </w:t>
      </w:r>
      <w:r>
        <w:t xml:space="preserve">снижаются с восьмисот пяти до трехсот двадцати, когда население и профсоюзы приходят в движение через три шарнира; ни одна партия не исчезает, но сопротивление верхнего слоя становится невозможным, когда нижний слой сместился.</w:t>
      </w:r>
      <w:r>
        <w:t xml:space="preserve"> </w:t>
      </w:r>
      <w:r>
        <w:rPr>
          <w:b/>
          <w:bCs/>
        </w:rPr>
        <w:t xml:space="preserve">Профсоюзы работников образования</w:t>
      </w:r>
      <w:r>
        <w:t xml:space="preserve"> </w:t>
      </w:r>
      <w:r>
        <w:t xml:space="preserve">и</w:t>
      </w:r>
      <w:r>
        <w:t xml:space="preserve"> </w:t>
      </w:r>
      <w:r>
        <w:rPr>
          <w:b/>
          <w:bCs/>
        </w:rPr>
        <w:t xml:space="preserve">профсоюзы государственных служащих</w:t>
      </w:r>
      <w:r>
        <w:t xml:space="preserve"> </w:t>
      </w:r>
      <w:r>
        <w:t xml:space="preserve">снижаются аналогичным образом — на пятьдесят и более процентов — благодаря той же комбинации давления прессы и «растущего пирога».</w:t>
      </w:r>
      <w:r>
        <w:t xml:space="preserve"> </w:t>
      </w:r>
      <w:r>
        <w:rPr>
          <w:b/>
          <w:bCs/>
        </w:rPr>
        <w:t xml:space="preserve">Правящие партии, борющиеся за право на существование</w:t>
      </w:r>
      <w:r>
        <w:t xml:space="preserve">, снижаются с шестисот сорока пяти до трехсот пятидесяти, когда обучающая функция и воля населения структурно меняют общественные настроения.</w:t>
      </w:r>
    </w:p>
    <w:p>
      <w:pPr>
        <w:pStyle w:val="BodyText"/>
      </w:pPr>
      <w:r>
        <w:t xml:space="preserve">Четыре актора снижаются умеренно и сохраняют значительное присутствие:</w:t>
      </w:r>
      <w:r>
        <w:t xml:space="preserve"> </w:t>
      </w:r>
      <w:r>
        <w:rPr>
          <w:b/>
          <w:bCs/>
        </w:rPr>
        <w:t xml:space="preserve">Право ЕС и договоры</w:t>
      </w:r>
      <w:r>
        <w:t xml:space="preserve"> </w:t>
      </w:r>
      <w:r>
        <w:t xml:space="preserve">(пятьсот сорок),</w:t>
      </w:r>
      <w:r>
        <w:t xml:space="preserve"> </w:t>
      </w:r>
      <w:r>
        <w:rPr>
          <w:b/>
          <w:bCs/>
        </w:rPr>
        <w:t xml:space="preserve">высшее чиновничество и дашборд</w:t>
      </w:r>
      <w:r>
        <w:t xml:space="preserve"> </w:t>
      </w:r>
      <w:r>
        <w:t xml:space="preserve">(четыреста восемьдесят),</w:t>
      </w:r>
      <w:r>
        <w:t xml:space="preserve"> </w:t>
      </w:r>
      <w:r>
        <w:rPr>
          <w:b/>
          <w:bCs/>
        </w:rPr>
        <w:t xml:space="preserve">Raad van State</w:t>
      </w:r>
      <w:r>
        <w:t xml:space="preserve"> </w:t>
      </w:r>
      <w:r>
        <w:t xml:space="preserve">(пятьсот десять) и</w:t>
      </w:r>
      <w:r>
        <w:t xml:space="preserve"> </w:t>
      </w:r>
      <w:r>
        <w:rPr>
          <w:b/>
          <w:bCs/>
        </w:rPr>
        <w:t xml:space="preserve">юридический сектор</w:t>
      </w:r>
      <w:r>
        <w:t xml:space="preserve"> </w:t>
      </w:r>
      <w:r>
        <w:t xml:space="preserve">(четыреста шестьдесят). Их тормозящий вес носит не идеологический, а институционально-процедурный характер. Даже при Nova Democratia юридическая экспертиза, бюрократическая практика дашбордов и европейское право остаются весомым тормозом. И это хорошо — в этом и заключается их функция. Меняется то, что их тормоз больше не определяет направление, а лишь скорость, с которой это направление осваивается. Тогда они становятся не блокировкой, а корректирующим механизмом.</w:t>
      </w:r>
    </w:p>
    <w:p>
      <w:pPr>
        <w:pStyle w:val="BodyText"/>
      </w:pPr>
      <w:r>
        <w:rPr>
          <w:b/>
          <w:bCs/>
        </w:rPr>
        <w:t xml:space="preserve">Эффект Парето: восемьдесят процентов за счет семи акторов</w:t>
      </w:r>
    </w:p>
    <w:p>
      <w:pPr>
        <w:pStyle w:val="BodyText"/>
      </w:pPr>
      <w:r>
        <w:t xml:space="preserve">В шестом выпуске восемьдесят процентов тормозящего веса приходилось на двенадцать верхних акторов. При Nova Democratia эта концентрация смещается. Четыре верхних актора — Право ЕС, высшее чиновничество, Raad van State, юридический сектор — вместе будут обеспечивать почти сорок процентов оставшейся блокировки, носящей сугубо процедурный характер. Остальные шестьдесят процентов распределены между восемью акторами, каждый из которых вносит менее десяти процентов и с которыми возможен прогресс через конструктивный диалог. Система становится</w:t>
      </w:r>
      <w:r>
        <w:t xml:space="preserve"> </w:t>
      </w:r>
      <w:r>
        <w:rPr>
          <w:b/>
          <w:bCs/>
        </w:rPr>
        <w:t xml:space="preserve">управляемой</w:t>
      </w:r>
      <w:r>
        <w:t xml:space="preserve"> </w:t>
      </w:r>
      <w:r>
        <w:t xml:space="preserve">— кривая Парето становится менее крутой, и это именно то, что необходимо взвешенному управлению: меньше единичных блокировок с несоразмерной властью, больше распределенных дискуссий с соразмерным весом.</w:t>
      </w:r>
    </w:p>
    <w:p>
      <w:pPr>
        <w:pStyle w:val="BodyText"/>
      </w:pPr>
      <w:r>
        <w:rPr>
          <w:b/>
          <w:bCs/>
        </w:rPr>
        <w:t xml:space="preserve">Три шарнира в цифрах</w:t>
      </w:r>
    </w:p>
    <w:p>
      <w:pPr>
        <w:pStyle w:val="BodyText"/>
      </w:pPr>
      <w:r>
        <w:t xml:space="preserve">График наглядно демонстрирует то, что было объяснено в восьмом, девятом и десятом выпусках по отдельности. Механизм давления восьмого выпуска — пресса, народ, профсоюзы — обеспечивает снижение у четырех акторов (политические партии, профсоюзы учителей, профсоюзы госслужащих, Eerste Kamer): в совокупности примерно на тысячу четыреста баллов меньше блокировки. Механизм притяжения девятого выпуска — обучающая функция общественного вещания — обеспечивает снижение у трех акторов (NPO/журналисты, правящие партии, лоббистские объединения): вместе примерно на девятьсот баллов меньше. Механизм выживания десятого выпуска — университеты в мире ИИ — обеспечивает снижение у трех акторов (университеты, школьные советы, KNAW): вместе примерно на восемьсот баллов меньше. Институциональная замена — три директивы ЕС, Bondsraad — обеспечивает снижение у четырех акторов (Право ЕС, высшее чиновничество, Raad van State, юридический сектор): вместе примерно на семьсот баллов меньше. Четыре механизма — в сумме более двух тысяч девятисот баллов снижения.</w:t>
      </w:r>
    </w:p>
    <w:p>
      <w:pPr>
        <w:pStyle w:val="BodyText"/>
      </w:pPr>
      <w:r>
        <w:rPr>
          <w:b/>
          <w:bCs/>
        </w:rPr>
        <w:t xml:space="preserve">Что для этого необходимо</w:t>
      </w:r>
    </w:p>
    <w:p>
      <w:pPr>
        <w:pStyle w:val="BodyText"/>
      </w:pPr>
      <w:r>
        <w:t xml:space="preserve">Этот график — проекция, а не предсказание. Он верен при одном условии: реализация должна происходить действительно одновременно, а не последовательно. Тот, кто заменит только три директивы, не активировав шарниры, получит поддержку четырех или пяти акторов, а остальные останутся на месте — общий эффект составит около двадцати процентов снижения вместо сорока двух. Тот, кто активирует только шарниры без институциональной замены, приведет в движение шесть или семь акторов, но лишится фундамента права ЕС — общий эффект составит около тридцати процентов. Только когда оба процесса запускаются одновременно, возникает полный эффект. Это не идеологическое предпочтение, а арифметика Парето: три шарнира плюс институциональная замена не суммируются, а мультиплицируются.</w:t>
      </w:r>
    </w:p>
    <w:p>
      <w:pPr>
        <w:pStyle w:val="BodyText"/>
      </w:pPr>
      <w:r>
        <w:rPr>
          <w:b/>
          <w:bCs/>
        </w:rPr>
        <w:t xml:space="preserve">Где осуществляются движения</w:t>
      </w:r>
    </w:p>
    <w:p>
      <w:pPr>
        <w:pStyle w:val="BodyText"/>
      </w:pPr>
      <w:r>
        <w:t xml:space="preserve">Для каждого актора на графике существует узнаваемый уровень диалога. Право ЕС и договоры: Комиссия и Европейский парламент в новом промышленно-стратегическом трилоге, инициируемом Bondsraad. Политические партии в повестке дня: лидеры фракций в национальных парламентах через целевые технические брифинги интеллектуального слоя. Профсоюзы учителей и госслужащих: их ежегодные общие собрания членов, подпитываемые региональной прессой. Высшее чиновничество: конференции генеральных секретарей и генеральных директоров, ежегодно проходящие в Брюсселе и национальных столицах. Школьные советы: их национальные объединения (PO-Raad, VO-Raad). NPO и журналисты: советы директоров и главные редакции NOS, Volkskrant, NRC, FAZ, Le Monde. Университеты: rectores magnifici и председатели правлений. Лоббистские объединения: VNO-NCW, BDI, MEDEF в новом формальном сотрудничестве с Bondsraad.</w:t>
      </w:r>
    </w:p>
    <w:p>
      <w:pPr>
        <w:pStyle w:val="BodyText"/>
      </w:pPr>
      <w:r>
        <w:t xml:space="preserve">Это тридцать-сорок ключевых встреч за пять лет — меньше, чем средний брюссельский трилог по одной директиве. Это не невозможная задача; это нормальный масштаб европейской административной работы. Сегодня не хватает не способности вести эти диалоги, а рамок, в которых они могли бы стать значимыми. Nova Democratia и есть эти рамки. Bondsraad — это стол для переговоров. Два рычага — Giant Juncao и хранение пластика — это конкретная повестка дня. Три шарнира позволяют другой стороне стола изменить свою позицию.</w:t>
      </w:r>
    </w:p>
    <w:p>
      <w:pPr>
        <w:pStyle w:val="BodyText"/>
      </w:pPr>
      <w:r>
        <w:rPr>
          <w:b/>
          <w:bCs/>
        </w:rPr>
        <w:t xml:space="preserve">Критическое замечание</w:t>
      </w:r>
    </w:p>
    <w:p>
      <w:pPr>
        <w:pStyle w:val="BodyText"/>
      </w:pPr>
      <w:r>
        <w:t xml:space="preserve">Следует сказать честно: этот график показывает то, что статистически и стратегически возможно при условии верности всех проектных допущений. Это не то же самое, что произойдет в реальности. Сорок процентов снижения за пять лет — это амбициозный прогноз, сопоставимый с ростом урожайности кукурузы в период с тысяча девятьсот пятидесятого по тысяча девятьсот семидесятый год. Это не закономерность, это возможность, возникающая при взаимодействии всех элементов. В ходе реального воплощения возникнут непредвиденные задержки, ошибки и неудачи. Два шарнира сработают быстрее, чем ожидалось, один — медленнее. Одна директива будет заблокирована одним государством-членом, другая будет принята быстрее, чем предполагалось. График показывает порядок величин, а не точный результат. Он означает следующее: тормозящий вес может радикально снизиться при последовательной реализации проекта. Ни чуда, ни утопии — лишь рабочее сокращение сил консерватизма до уровня, при котором новый проект управления получает пространство для дыхания.</w:t>
      </w:r>
    </w:p>
    <w:p>
      <w:pPr>
        <w:pStyle w:val="BodyText"/>
      </w:pPr>
      <w:r>
        <w:rPr>
          <w:b/>
          <w:bCs/>
        </w:rPr>
        <w:t xml:space="preserve">Вопрос к читателю</w:t>
      </w:r>
    </w:p>
    <w:p>
      <w:pPr>
        <w:pStyle w:val="BodyText"/>
      </w:pPr>
      <w:r>
        <w:t xml:space="preserve">Тот, кто видит этот график и задается вопросом, где на этом ландшафте находится Вы, делает именно то, к чему стремится Het Open Vizier. Вы профессор в Вагенингене? Ваша кафедра за пять лет переместится с отметки двести двадцать на, возможно, гораздо более низкую, и Ваши исследования получат новый простор. Вы редактор в Volkskrant? Ваша роль сместится от блокировки к двигателю, благодаря всем рабочим материалам, которые предоставляет пресс-служба Bondsraad. Вы руководитель профсоюза FNV в портовом секторе? Ваш союз обретает новую идентичность как европейская федерация рабочих для климатически позитивной индустрии. Вы депутат парламента от D66? Ваша фракция, наконец, получает ту последовательную промышленную политику, которую она искала двадцать лет. Вы не знакомы с этой темой, но любите читать газету воскресным утром? Ваш вклад заключается в том, чтобы рассказать эту историю дальше — другу, родственнику, коллеге. Девять человек за столом, слышавших о Giant Juncao, стоят больше, чем пять новых законов в Брюсселе.</w:t>
      </w:r>
    </w:p>
    <w:p>
      <w:pPr>
        <w:pStyle w:val="BodyText"/>
      </w:pPr>
      <w:r>
        <w:t xml:space="preserve">Это то, что публикует Het Open Vizier: не план, который приводится в исполнение, а проект, который открывается для обсуждения. Что с ним будет дальше, решите Вы, читатель. В двенадцатом выпуске этот вопрос будет разобран подробнее.</w:t>
      </w:r>
    </w:p>
    <w:p>
      <w:pPr>
        <w:pStyle w:val="BodyText"/>
      </w:pPr>
      <w:r>
        <w:rPr>
          <w:i/>
          <w:iCs/>
        </w:rPr>
        <w:t xml:space="preserve">Этот выпуск будет дополнен интерактивной версией графика, где при нажатии на каждого актора можно будет увидеть полный шарнирный механизм, а также вторым сравнением, показывающим десятилетний прогноз.</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2026-06-03T18:37:30Z</dcterms:created>
  <dcterms:modified xsi:type="dcterms:W3CDTF">2026-06-03T18:37:30Z</dcterms:modified>
</cp:coreProperties>
</file>

<file path=docProps/custom.xml><?xml version="1.0" encoding="utf-8"?>
<Properties xmlns="http://schemas.openxmlformats.org/officeDocument/2006/custom-properties" xmlns:vt="http://schemas.openxmlformats.org/officeDocument/2006/docPropsVTypes"/>
</file>