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-twee-hefbomen-samen"/>
    <w:p>
      <w:pPr>
        <w:pStyle w:val="Heading2"/>
      </w:pPr>
      <w:r>
        <w:t xml:space="preserve">00 — De twee hefbomen samen</w:t>
      </w:r>
    </w:p>
    <w:p>
      <w:pPr>
        <w:pStyle w:val="FirstParagraph"/>
      </w:pPr>
      <w:r>
        <w:rPr>
          <w:i/>
          <w:iCs/>
        </w:rPr>
        <w:t xml:space="preserve">Een korte technische routekaart van wat in deze editie volgt. De productie-as (Giant Juncao + BiCRS) en de opslag-as (plastic uit huisvuil in dagbouwen) samengezien als één industrieel ontwerp.</w:t>
      </w:r>
    </w:p>
    <w:p>
      <w:pPr>
        <w:pStyle w:val="BodyText"/>
      </w:pPr>
      <w:r>
        <w:t xml:space="preserve">Deze opener legt de logica vast die de volgende zes afleveringen technisch uitwerken. Twee hefbomen, één doel, één bestuurlijke voorwaarde.</w:t>
      </w:r>
    </w:p>
    <w:p>
      <w:pPr>
        <w:pStyle w:val="BodyText"/>
      </w:pPr>
      <w:r>
        <w:rPr>
          <w:b/>
          <w:bCs/>
        </w:rPr>
        <w:t xml:space="preserve">De getallen die deze editie dragen</w:t>
      </w:r>
    </w:p>
    <w:p>
      <w:pPr>
        <w:pStyle w:val="Compact"/>
        <w:numPr>
          <w:ilvl w:val="0"/>
          <w:numId w:val="1001"/>
        </w:numPr>
      </w:pPr>
      <w:r>
        <w:t xml:space="preserve">Giant Juncao: 300–450 ton groene biomassa per hectare per jaar regulier, record 853 ton in Papoea-Nieuw-Guinea — drie tot tien keer productiever dan suikerriet of switchgrass.</w:t>
      </w:r>
    </w:p>
    <w:p>
      <w:pPr>
        <w:pStyle w:val="Compact"/>
        <w:numPr>
          <w:ilvl w:val="0"/>
          <w:numId w:val="1001"/>
        </w:numPr>
      </w:pPr>
      <w:r>
        <w:t xml:space="preserve">Plastic in huisvuil: 78% koolstof gemiddeld, 70% van AVI-CO₂-uitstoot — 35 megaton/jaar in Europa, direct vermijdbaar.</w:t>
      </w:r>
    </w:p>
    <w:p>
      <w:pPr>
        <w:pStyle w:val="Compact"/>
        <w:numPr>
          <w:ilvl w:val="0"/>
          <w:numId w:val="1001"/>
        </w:numPr>
      </w:pPr>
      <w:r>
        <w:t xml:space="preserve">Duitse dagbouw-volume: Garzweiler (~2 miljard m³) + Hambach (~2,5 miljard m³) + Inden + Welzow-Süd = honderden jaren Europese plasticstroom-opslag.</w:t>
      </w:r>
    </w:p>
    <w:p>
      <w:pPr>
        <w:pStyle w:val="Compact"/>
        <w:numPr>
          <w:ilvl w:val="0"/>
          <w:numId w:val="1001"/>
        </w:numPr>
      </w:pPr>
      <w:r>
        <w:t xml:space="preserve">Tijdsvenster: 3–5 jaar voordat Chinese geografische dominantie in Giant Juncao-velden onomkeerbaar wordt.</w:t>
      </w:r>
    </w:p>
    <w:p>
      <w:pPr>
        <w:pStyle w:val="Compact"/>
        <w:numPr>
          <w:ilvl w:val="0"/>
          <w:numId w:val="1001"/>
        </w:numPr>
      </w:pPr>
      <w:r>
        <w:t xml:space="preserve">Resultaat bij synergie: Europa van +3,4 GtCO₂/jr (huidig) naar netto nul binnen tien jaar, daarna netto negatief.</w:t>
      </w:r>
    </w:p>
    <w:p>
      <w:pPr>
        <w:pStyle w:val="FirstParagraph"/>
      </w:pPr>
      <w:r>
        <w:rPr>
          <w:i/>
          <w:iCs/>
        </w:rPr>
        <w:t xml:space="preserve">Deze aflevering wordt nog uitgewerkt met de complete technische routekaart en het volledige diagram van beide hefbomen.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2026-06-03T08:10:29Z</dcterms:created>
  <dcterms:modified xsi:type="dcterms:W3CDTF">2026-06-03T08:10:29Z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